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Введен в действие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Ростехрегулирования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2007 г. N 169-ст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МЕЖГОСУДАРСТВЕННЫЙ СТАНДАРТ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СТАНДАРТОВ БЕЗОПАСНОСТИ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УПРАВЛЕНИЯ 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ТРЕБОВАНИЯ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4405">
        <w:rPr>
          <w:rFonts w:ascii="Calibri" w:hAnsi="Calibri" w:cs="Calibri"/>
          <w:b/>
          <w:bCs/>
          <w:lang w:val="en-US"/>
        </w:rPr>
        <w:t>ILO-OSH 2001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4405">
        <w:rPr>
          <w:rFonts w:ascii="Calibri" w:hAnsi="Calibri" w:cs="Calibri"/>
          <w:b/>
          <w:bCs/>
          <w:lang w:val="en-US"/>
        </w:rPr>
        <w:t>Guidelines on occupational safety and health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4405">
        <w:rPr>
          <w:rFonts w:ascii="Calibri" w:hAnsi="Calibri" w:cs="Calibri"/>
          <w:b/>
          <w:bCs/>
          <w:lang w:val="en-US"/>
        </w:rPr>
        <w:t>management systems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4405">
        <w:rPr>
          <w:rFonts w:ascii="Calibri" w:hAnsi="Calibri" w:cs="Calibri"/>
          <w:b/>
          <w:bCs/>
          <w:lang w:val="en-US"/>
        </w:rPr>
        <w:t>(IDT)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4405">
        <w:rPr>
          <w:rFonts w:ascii="Calibri" w:hAnsi="Calibri" w:cs="Calibri"/>
          <w:b/>
          <w:bCs/>
          <w:lang w:val="en-US"/>
        </w:rPr>
        <w:t>Occupational safety standards system. Occupational safety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14405">
        <w:rPr>
          <w:rFonts w:ascii="Calibri" w:hAnsi="Calibri" w:cs="Calibri"/>
          <w:b/>
          <w:bCs/>
          <w:lang w:val="en-US"/>
        </w:rPr>
        <w:t>and health management systems. General requirements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614405">
        <w:rPr>
          <w:rFonts w:ascii="Calibri" w:hAnsi="Calibri" w:cs="Calibri"/>
          <w:b/>
          <w:bCs/>
          <w:lang w:val="en-US"/>
        </w:rPr>
        <w:t xml:space="preserve"> 12.0.230-2007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14405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в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ред</w:t>
      </w:r>
      <w:r w:rsidRPr="00614405">
        <w:rPr>
          <w:rFonts w:ascii="Calibri" w:hAnsi="Calibri" w:cs="Calibri"/>
          <w:lang w:val="en-US"/>
        </w:rPr>
        <w:t xml:space="preserve">. </w:t>
      </w:r>
      <w:hyperlink r:id="rId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Т58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ОКСТУ 0012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Предисловие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history="1">
        <w:r>
          <w:rPr>
            <w:rFonts w:ascii="Calibri" w:hAnsi="Calibri" w:cs="Calibri"/>
            <w:color w:val="0000FF"/>
          </w:rPr>
          <w:t>ГОСТ 1.0-92</w:t>
        </w:r>
      </w:hyperlink>
      <w:r>
        <w:rPr>
          <w:rFonts w:ascii="Calibri" w:hAnsi="Calibri" w:cs="Calibri"/>
        </w:rPr>
        <w:t xml:space="preserve"> "Межгосударственная система стандартизации. Основные положения" и </w:t>
      </w:r>
      <w:hyperlink r:id="rId9" w:history="1">
        <w:r>
          <w:rPr>
            <w:rFonts w:ascii="Calibri" w:hAnsi="Calibri" w:cs="Calibri"/>
            <w:color w:val="0000FF"/>
          </w:rPr>
          <w:t>ГОСТ 1.2-97</w:t>
        </w:r>
      </w:hyperlink>
      <w:r>
        <w:rPr>
          <w:rFonts w:ascii="Calibri" w:hAnsi="Calibri" w:cs="Calibri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Сведения о стандарте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 Руководства, указанного в </w:t>
      </w:r>
      <w:hyperlink w:anchor="Par8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Федеральным агентством по техническому регулированию и метрологии.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Принят Межгосударственным советом по стандартизации, метрологии и сертификации (Протокол N 28 от 27 марта 2007 г. по переписке).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принятие проголосовали: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740"/>
        <w:gridCol w:w="4620"/>
      </w:tblGrid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наименование страны по МК (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ИСО 3166</w:t>
              </w:r>
            </w:hyperlink>
            <w:r>
              <w:rPr>
                <w:rFonts w:ascii="Calibri" w:hAnsi="Calibri" w:cs="Calibri"/>
              </w:rPr>
              <w:t>) 004-97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страны по МК (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ИСО 3166</w:t>
              </w:r>
            </w:hyperlink>
            <w:r>
              <w:rPr>
                <w:rFonts w:ascii="Calibri" w:hAnsi="Calibri" w:cs="Calibri"/>
              </w:rPr>
              <w:t>) 004-97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 национального органа по стандартизации</w:t>
            </w:r>
          </w:p>
        </w:tc>
      </w:tr>
      <w:tr w:rsidR="00614405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Азербайджанская Республика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AZ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Азстандарт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Армения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Армстандарт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Республики Беларусь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Грузстандарт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Казахстан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KZ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Республики Казахстан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Кыргызская Республика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Кыргызстандарт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Молдова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Молдова-Стандарт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техническому регулированию и метрологии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Таджикистан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Таджикстандарт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Туркменистан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Государственная служба "Туркменстандартлары"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Узбекистан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Госпотребстандарт Украины</w:t>
            </w:r>
          </w:p>
        </w:tc>
      </w:tr>
      <w:tr w:rsidR="006144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405" w:rsidRDefault="0061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Украины</w:t>
            </w:r>
          </w:p>
        </w:tc>
      </w:tr>
    </w:tbl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 xml:space="preserve">4. Настоящий стандарт идентичен документу Международной организации труда ILO-OSH 2001. </w:t>
      </w:r>
      <w:r w:rsidRPr="00614405">
        <w:rPr>
          <w:rFonts w:ascii="Calibri" w:hAnsi="Calibri" w:cs="Calibri"/>
          <w:lang w:val="en-US"/>
        </w:rPr>
        <w:t>Guidelines on occupational safety and health management systems (</w:t>
      </w:r>
      <w:r>
        <w:rPr>
          <w:rFonts w:ascii="Calibri" w:hAnsi="Calibri" w:cs="Calibri"/>
        </w:rPr>
        <w:t>Руководство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системам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управления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охраной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труда</w:t>
      </w:r>
      <w:r w:rsidRPr="00614405">
        <w:rPr>
          <w:rFonts w:ascii="Calibri" w:hAnsi="Calibri" w:cs="Calibri"/>
          <w:lang w:val="en-US"/>
        </w:rPr>
        <w:t xml:space="preserve">). </w:t>
      </w:r>
      <w:r>
        <w:rPr>
          <w:rFonts w:ascii="Calibri" w:hAnsi="Calibri" w:cs="Calibri"/>
        </w:rPr>
        <w:t>Наименование настоящего стандарта изменено относительно наименования международного документа для приведения в соответствие с ГОСТ 1.5-2001 (</w:t>
      </w:r>
      <w:hyperlink r:id="rId12" w:history="1">
        <w:r>
          <w:rPr>
            <w:rFonts w:ascii="Calibri" w:hAnsi="Calibri" w:cs="Calibri"/>
            <w:color w:val="0000FF"/>
          </w:rPr>
          <w:t>подраздел 3.6</w:t>
        </w:r>
      </w:hyperlink>
      <w:r>
        <w:rPr>
          <w:rFonts w:ascii="Calibri" w:hAnsi="Calibri" w:cs="Calibri"/>
        </w:rPr>
        <w:t>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10 июля 2007 г. N 169-ст межгосударственный стандарт ГОСТ 12.0.230-2007 введен в действие в качестве национального стандарта Российской Федерации с 1 июля 2009 г.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Введен впервые.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Введение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Положительное воздействие внедрения систем управления охраной труда на уровне организации &lt;*&gt;,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Определение см. в </w:t>
      </w:r>
      <w:hyperlink w:anchor="Par116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"Термины и определения".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в МОТ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Практические рекомендации, содержащиеся в настоящем стандарте, предназначены для использования всеми, на кого возложены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работодателя возлагается непосредственная ответственность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>1. Область применения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(раздел 1 в ред. </w:t>
      </w:r>
      <w:hyperlink r:id="rId1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национальном уровне стандарт должен служить: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установления национальных основ применения систем управления охраной труда, подкрепленных национальными законами и иными нормативными правовыми актами;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уровне организации стандарт предназначен: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Под членами организации понимают всех непосредственно связанных с деятельностью организации физических лиц, а не только работников.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2. Термины и определения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применяемые ниже термины имеют следующие значения с соответствующими определениями: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Инцидент (incident):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Комитет (комиссия) по охране труда (safety and health committee): комитет или </w:t>
      </w:r>
      <w:r>
        <w:rPr>
          <w:rFonts w:ascii="Calibri" w:hAnsi="Calibri" w:cs="Calibri"/>
        </w:rPr>
        <w:lastRenderedPageBreak/>
        <w:t>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hyperlink r:id="rId2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Компетентное лицо (competent person): лицо, обладающее необходимой подготовкой и достаточными знаниями, умениями и опытом для выполнения конкретной работы.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Компетентное учреждение (competent institution):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формулированию соответствующих нормативных документов.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2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Наблюдение за производственной средой (surveillance of the working environment): общий термин, включающий идентификацию и оценку таких факторов окружающей производственной среды, которые могут воздействовать на здоровье работников. Он охватывает 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профилактике несчастных случаев и заболеваний, гигиене труда на рабочем месте, организации труда и социально-психологическим факторам на работе.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 в ред. </w:t>
      </w:r>
      <w:hyperlink r:id="rId2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Наблюдение за состоянием здоровья работников (workers' health surveillance): процедуры и обследования состояния здоровья работников для обнаружения и определения отклонений от нормы.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Непрерывное совершенствование (continual improvement):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Опасность (hazard): производственный фактор, способный причинить травму или нанести иной вред здоровью человека.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2.8 в ред. </w:t>
      </w:r>
      <w:hyperlink r:id="rId2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Организация (organization): 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2.9 в ред. </w:t>
      </w:r>
      <w:hyperlink r:id="rId2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Оценка опасностей (hazard assessment): систематическое оценивание опасностей.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Оценка риска (risk assessment): процесс оценивания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2.11 в ред. </w:t>
      </w:r>
      <w:hyperlink r:id="rId2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Подрядчик (contractor):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2.12 в ред. </w:t>
      </w:r>
      <w:hyperlink r:id="rId2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Представители работников (workers' representative): любые лица, признанные таковыми исходя из национального законодательства и практики.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Представителями работников могут быть: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представители профессиональных союзов, назначенные или избранные профессиональными союзами или членами таких профсоюзов;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Представители работников по охране труда (workers' safety and health representatives): представители работников, избранные или назначенные в соответствии с национальными законами или практикой для представления интересов работников по охране труда на месте их работы.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2.14 в ред. </w:t>
      </w:r>
      <w:hyperlink r:id="rId2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Проверка (audit): систематический, независимый, оформленный в виде документа процесс получения и объективной оценки данных степени соблюдения установленных критериев.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Термин необязательно означает независимую внешнюю проверку (проводимую проверяющим или проверяющими со стороны).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Место проведения работ (worksite):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2.16 в ред. </w:t>
      </w:r>
      <w:hyperlink r:id="rId2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Работник (worker): физическое лицо, вступившее в трудовые отношения с работодателем.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Работодатель (employer): физическое или юридическое лицо (организация), вступившее в трудовые отношения с работником.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Работники и их представители (workers and their representatives): упоминание работников и их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Реагирующий мониторинг (reactive monitoring):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здоровья, болезни и инциденты, идентифицированы и устранены.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2.20 в ред. </w:t>
      </w:r>
      <w:hyperlink r:id="rId2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Риск (risk):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Система управления охраной труда (occupational safety and health management system):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2.23. Текущий контроль (active monitoring): текущая деятельность по проверке того, что </w:t>
      </w:r>
      <w:r>
        <w:rPr>
          <w:rFonts w:ascii="Calibri" w:hAnsi="Calibri" w:cs="Calibri"/>
        </w:rPr>
        <w:lastRenderedPageBreak/>
        <w:t>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2.23 в ред. </w:t>
      </w:r>
      <w:hyperlink r:id="rId3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2.24. Связанные с работой травмы, ухудшения здоровья и болезни (workrelated injuries, ill health and diseases):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последствий неблагоприятных условий труда, а не только учетные производственные травмы (несчастные случаи на производстве) и профессиональные болезни.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2.24 в ред. </w:t>
      </w:r>
      <w:hyperlink r:id="rId3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3. Национальные основы систем управления 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3.1. Национальная политика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созданию и содействию развития систем управления 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представительными организациями работодателей и работников и, при необходимости, с другими органами власти или общественными объединениями.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3.1.1 в ред. </w:t>
      </w:r>
      <w:hyperlink r:id="rId3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Национальная политика по системам управления охраной труда должна устанавливать общие принципы и процедуры для: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содействия использованию и объединению систем управления охраной труда с общей системой управления организацией в качестве подсистемы;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труда на национальном уровне и на уровне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содействия участию работников и их представителей в работах по обеспечению охраны труда в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оценки и пропаганды имеющимися средствами эффективности систем управления охраной труда и практики их применения;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установления в установленном порядке критериев для назначения учреждений, ответственных за разработку, внедрение и применение 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обеспечения доступности национальных и специальных стандартов, а также иных руководящих указаний работодателям, работникам и их представителям для использования ими преимуществ национальной политики.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3.1.3 в ред. </w:t>
      </w:r>
      <w:hyperlink r:id="rId3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Под службами охраны труда в настоящем стандарте в соответствии с международной практикой понимают внешние для работодателя организации, профессионально оказывающие услуги по охране труда..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3.1.4 в ред. </w:t>
      </w:r>
      <w:hyperlink r:id="rId3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92"/>
      <w:bookmarkEnd w:id="9"/>
      <w:r>
        <w:rPr>
          <w:rFonts w:ascii="Calibri" w:hAnsi="Calibri" w:cs="Calibri"/>
        </w:rPr>
        <w:t>3.2. Национальный стандарт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Национальный стандарт, устанавливающий порядок добровольного применения и систематического использования систем управления охраной труда, должен быть разработан на основе подхода, приведенного в </w:t>
      </w:r>
      <w:hyperlink w:anchor="Par229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>, с учетом национальных условий и практики.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Руководство МОТ-СУОТ 2001, настоящий стандарт, национальный стандарт и специальные стандарты по системам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3.2.2 в ред. </w:t>
      </w:r>
      <w:hyperlink r:id="rId3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96"/>
      <w:bookmarkEnd w:id="10"/>
      <w:r>
        <w:rPr>
          <w:rFonts w:ascii="Calibri" w:hAnsi="Calibri" w:cs="Calibri"/>
        </w:rPr>
        <w:t>3.3. Специальные стандарты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Специальные стандарты, отражая общие цели настоящего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их размер (крупный, средний и малый) и инфраструктуру;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типы опасностей и значимость рисков.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3.3.1 в ред. </w:t>
      </w:r>
      <w:hyperlink r:id="rId3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Элементы национальных структур управления охраной труда и связи между ними представлены на рисунке 1.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pStyle w:val="ConsPlusNonformat"/>
        <w:jc w:val="both"/>
      </w:pPr>
      <w:r>
        <w:t>┌────────────────────────────────────────┐             ┌──────────────┐</w:t>
      </w:r>
    </w:p>
    <w:p w:rsidR="00614405" w:rsidRDefault="00614405">
      <w:pPr>
        <w:pStyle w:val="ConsPlusNonformat"/>
        <w:jc w:val="both"/>
      </w:pPr>
      <w:r>
        <w:t>│ Руководство МОТ по системам управления ├────────────&gt;│              │</w:t>
      </w:r>
    </w:p>
    <w:p w:rsidR="00614405" w:rsidRDefault="00614405">
      <w:pPr>
        <w:pStyle w:val="ConsPlusNonformat"/>
        <w:jc w:val="both"/>
      </w:pPr>
      <w:r>
        <w:t>│      охраной труда (ILO-OSH 2001)      │             │              │</w:t>
      </w:r>
    </w:p>
    <w:p w:rsidR="00614405" w:rsidRDefault="00614405">
      <w:pPr>
        <w:pStyle w:val="ConsPlusNonformat"/>
        <w:jc w:val="both"/>
      </w:pPr>
      <w:r>
        <w:t>└───┬────────────────────────────────────┘             │              │</w:t>
      </w:r>
    </w:p>
    <w:p w:rsidR="00614405" w:rsidRDefault="00614405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┌──────────────────────────────────────────┐    │              │</w:t>
      </w:r>
    </w:p>
    <w:p w:rsidR="00614405" w:rsidRDefault="00614405">
      <w:pPr>
        <w:pStyle w:val="ConsPlusNonformat"/>
        <w:jc w:val="both"/>
      </w:pPr>
      <w:r>
        <w:t xml:space="preserve">    └─&gt;│   Настоящий межгосударственный стандарт  ├───&gt;│   Система    │</w:t>
      </w:r>
    </w:p>
    <w:p w:rsidR="00614405" w:rsidRDefault="00614405">
      <w:pPr>
        <w:pStyle w:val="ConsPlusNonformat"/>
        <w:jc w:val="both"/>
      </w:pPr>
      <w:r>
        <w:t xml:space="preserve">       │   по системам управления охраной труда   │    │  управления  │</w:t>
      </w:r>
    </w:p>
    <w:p w:rsidR="00614405" w:rsidRDefault="00614405">
      <w:pPr>
        <w:pStyle w:val="ConsPlusNonformat"/>
        <w:jc w:val="both"/>
      </w:pPr>
      <w:r>
        <w:lastRenderedPageBreak/>
        <w:t xml:space="preserve">       └────────────────────┬─────────────────────┘    │охраной труда │</w:t>
      </w:r>
    </w:p>
    <w:p w:rsidR="00614405" w:rsidRDefault="00614405">
      <w:pPr>
        <w:pStyle w:val="ConsPlusNonformat"/>
        <w:jc w:val="both"/>
      </w:pPr>
      <w:r>
        <w:t xml:space="preserve">                            │                          │в организациях│</w:t>
      </w:r>
    </w:p>
    <w:p w:rsidR="00614405" w:rsidRDefault="00614405">
      <w:pPr>
        <w:pStyle w:val="ConsPlusNonformat"/>
        <w:jc w:val="both"/>
      </w:pPr>
      <w:r>
        <w:t xml:space="preserve">                            V                          │              │</w:t>
      </w:r>
    </w:p>
    <w:p w:rsidR="00614405" w:rsidRDefault="0061440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614405" w:rsidRDefault="00614405">
      <w:pPr>
        <w:pStyle w:val="ConsPlusNonformat"/>
        <w:jc w:val="both"/>
      </w:pPr>
      <w:r>
        <w:t xml:space="preserve">       │    Национальный стандарт по системам     ├───&gt;│              │</w:t>
      </w:r>
    </w:p>
    <w:p w:rsidR="00614405" w:rsidRDefault="00614405">
      <w:pPr>
        <w:pStyle w:val="ConsPlusNonformat"/>
        <w:jc w:val="both"/>
      </w:pPr>
      <w:r>
        <w:t xml:space="preserve">       │        управления охраной труда          │    │              │</w:t>
      </w:r>
    </w:p>
    <w:p w:rsidR="00614405" w:rsidRDefault="00614405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              │</w:t>
      </w:r>
    </w:p>
    <w:p w:rsidR="00614405" w:rsidRDefault="00614405">
      <w:pPr>
        <w:pStyle w:val="ConsPlusNonformat"/>
        <w:jc w:val="both"/>
      </w:pPr>
      <w:r>
        <w:t xml:space="preserve">                            │                          │              │</w:t>
      </w:r>
    </w:p>
    <w:p w:rsidR="00614405" w:rsidRDefault="00614405">
      <w:pPr>
        <w:pStyle w:val="ConsPlusNonformat"/>
        <w:jc w:val="both"/>
      </w:pPr>
      <w:r>
        <w:t xml:space="preserve">                            V                          │              │</w:t>
      </w:r>
    </w:p>
    <w:p w:rsidR="00614405" w:rsidRDefault="0061440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614405" w:rsidRDefault="00614405">
      <w:pPr>
        <w:pStyle w:val="ConsPlusNonformat"/>
        <w:jc w:val="both"/>
      </w:pPr>
      <w:r>
        <w:t xml:space="preserve">       │    Специальные стандарты по системам     │    │              │</w:t>
      </w:r>
    </w:p>
    <w:p w:rsidR="00614405" w:rsidRDefault="00614405">
      <w:pPr>
        <w:pStyle w:val="ConsPlusNonformat"/>
        <w:jc w:val="both"/>
      </w:pPr>
      <w:r>
        <w:t xml:space="preserve">       │управления охраной труда отрасли экономики├───&gt;│              │</w:t>
      </w:r>
    </w:p>
    <w:p w:rsidR="00614405" w:rsidRDefault="00614405">
      <w:pPr>
        <w:pStyle w:val="ConsPlusNonformat"/>
        <w:jc w:val="both"/>
      </w:pPr>
      <w:r>
        <w:t xml:space="preserve">       │ или крупных промышленных и хозяйственных │    │              │</w:t>
      </w:r>
    </w:p>
    <w:p w:rsidR="00614405" w:rsidRDefault="00614405">
      <w:pPr>
        <w:pStyle w:val="ConsPlusNonformat"/>
        <w:jc w:val="both"/>
      </w:pPr>
      <w:r>
        <w:t xml:space="preserve">       │               комплексов                 │    │              │</w:t>
      </w:r>
    </w:p>
    <w:p w:rsidR="00614405" w:rsidRDefault="00614405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└──────────────────────────────────────────┘    └──────────────┘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1. Элементы национальных структур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управления 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29"/>
      <w:bookmarkEnd w:id="11"/>
      <w:r>
        <w:rPr>
          <w:rFonts w:ascii="Calibri" w:hAnsi="Calibri" w:cs="Calibri"/>
        </w:rPr>
        <w:t>4. Система управления охраной труда в организации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представлены на рисунке 2.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4pt;height:247.45pt">
            <v:imagedata r:id="rId40" o:title=""/>
          </v:shape>
        </w:pic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36"/>
      <w:bookmarkEnd w:id="12"/>
      <w:r>
        <w:rPr>
          <w:rFonts w:ascii="Calibri" w:hAnsi="Calibri" w:cs="Calibri"/>
        </w:rPr>
        <w:t>Рисунок 2. Основные элементы системы управления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39"/>
      <w:bookmarkEnd w:id="13"/>
      <w:r>
        <w:rPr>
          <w:rFonts w:ascii="Calibri" w:hAnsi="Calibri" w:cs="Calibri"/>
        </w:rPr>
        <w:t>Политика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241"/>
      <w:bookmarkEnd w:id="14"/>
      <w:r>
        <w:rPr>
          <w:rFonts w:ascii="Calibri" w:hAnsi="Calibri" w:cs="Calibri"/>
        </w:rPr>
        <w:t>4.1. Политика в области охраны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Работодатель, консультируясь с работниками и их представителями, должен изложить </w:t>
      </w:r>
      <w:r>
        <w:rPr>
          <w:rFonts w:ascii="Calibri" w:hAnsi="Calibri" w:cs="Calibri"/>
        </w:rPr>
        <w:lastRenderedPageBreak/>
        <w:t>в письменном виде политику по охране труда, которая должна: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отвечать специфике организации и соответствовать ее размеру и характеру деятельности;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распространяться и быть легкодоступной для всех лиц на их месте работы;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анализироваться для постоянной пригодности;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быть доступной в соответствующем порядке относящимся к делу внешним заинтересованным сторонам.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4.1.1 в ред. </w:t>
      </w:r>
      <w:hyperlink r:id="rId4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Политика в области охраны труда должна включать, как минимум, следующие ключевые принципы и цели, выполнение которых организация принимает на себя: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непрерывное совершенствование функционирования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4.1.2 в ред. </w:t>
      </w:r>
      <w:hyperlink r:id="rId4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Система управления охраной труда должна быть совместима или объединена с другими системами управления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256"/>
      <w:bookmarkEnd w:id="15"/>
      <w:r>
        <w:rPr>
          <w:rFonts w:ascii="Calibri" w:hAnsi="Calibri" w:cs="Calibri"/>
        </w:rPr>
        <w:t>4.2. Участие работников и их представителей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Участие работников является важнейшим элементом системы управления охраной труда в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Работодатель должен привлекать работников и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мероприятия, в процессе возможных аварий.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Работодатель должен так организовать мероприятия для работников и их представителей по охране труда, чтобы они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Работодатель должен обеспечивать создание, формирование и эффективное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62"/>
      <w:bookmarkEnd w:id="16"/>
      <w:r>
        <w:rPr>
          <w:rFonts w:ascii="Calibri" w:hAnsi="Calibri" w:cs="Calibri"/>
        </w:rPr>
        <w:t>Организация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264"/>
      <w:bookmarkEnd w:id="17"/>
      <w:r>
        <w:rPr>
          <w:rFonts w:ascii="Calibri" w:hAnsi="Calibri" w:cs="Calibri"/>
        </w:rPr>
        <w:t>4.3. Обязанности и ответственность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4.3.1 в ред. </w:t>
      </w:r>
      <w:hyperlink r:id="rId4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Должны быть установлены структуры и процессы, которые бы: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обеспечивали управление охраной труда в виде линейной управленческой функции, известной и признанной на всех уровнях;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определяли и доводили до членов организации обязанности, ответственность и полномочия лиц, которые выявляют, оценивают или регулируют опасности и риски охраны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соблюдали принципы построения систем управления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устанавливали и осуществляли ясную политику по охране труда и измеримые цели;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работе;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устанавливали программы профилактики заболеваний и оздоровления;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предоставляли необходимые ресурсы для того, чтобы лица, несущие обязанности по охране труда, включая членов комитета (комиссии) по охране труда, могли правильно выполнять свои функции;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4.3.2 в ред. </w:t>
      </w:r>
      <w:hyperlink r:id="rId4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На уровне руководителей высшего звена организации должно быть назначено лицо или лица, наделенные обязанностями, ответственностью и полномочиями по: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развитию, применению, периодическому анализу и оценке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периодической отчетности высшему руководству о результативности функционирования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содействию в участии всех членов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4.3.3 в ред. </w:t>
      </w:r>
      <w:hyperlink r:id="rId4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290"/>
      <w:bookmarkEnd w:id="18"/>
      <w:r>
        <w:rPr>
          <w:rFonts w:ascii="Calibri" w:hAnsi="Calibri" w:cs="Calibri"/>
        </w:rPr>
        <w:t>4.4. Компетентность &lt;*&gt; и подготовка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Компетентность по охране труда включает образование, опыт работы и подготовку либо их сочетание.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95"/>
      <w:bookmarkEnd w:id="19"/>
      <w:r>
        <w:rPr>
          <w:rFonts w:ascii="Calibri" w:hAnsi="Calibri" w:cs="Calibri"/>
        </w:rP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4.4.1 в ред. </w:t>
      </w:r>
      <w:hyperlink r:id="rId4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Работодатель должен быть достаточно компетентным (или иметь возможность стать им) в области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4.4.2 в ред. </w:t>
      </w:r>
      <w:hyperlink r:id="rId4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введенного в действие Приказом Росстандарта от 31.10.2013 N </w:t>
      </w:r>
      <w:r>
        <w:rPr>
          <w:rFonts w:ascii="Calibri" w:hAnsi="Calibri" w:cs="Calibri"/>
        </w:rPr>
        <w:lastRenderedPageBreak/>
        <w:t>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4.4.3. Программы подготовки, осуществляемые в рамках требований, упомянутых в </w:t>
      </w:r>
      <w:hyperlink w:anchor="Par295" w:history="1">
        <w:r>
          <w:rPr>
            <w:rFonts w:ascii="Calibri" w:hAnsi="Calibri" w:cs="Calibri"/>
            <w:color w:val="0000FF"/>
          </w:rPr>
          <w:t>4.4.1</w:t>
        </w:r>
      </w:hyperlink>
      <w:r>
        <w:rPr>
          <w:rFonts w:ascii="Calibri" w:hAnsi="Calibri" w:cs="Calibri"/>
        </w:rPr>
        <w:t>,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охватывать всех членов организации в соответствующем порядке;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проводиться компетентными лицами;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предусматривать эффективную и своевременную первоначальную и повторную подготовку с соответствующей периодичностью;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включать оценку слушателями доступности и прочности усвоения материала подготовки;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гарантированного обеспечения их соответствия и эффективности;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документироваться в установленном порядке и сообразно размеру и характеру деятельности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4.4.3 в ред. </w:t>
      </w:r>
      <w:hyperlink r:id="rId4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Подготовка должна предоставляться всем слушателям бесплатно и осуществляться, по возможности, в рабочее время.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308"/>
      <w:bookmarkEnd w:id="20"/>
      <w:r>
        <w:rPr>
          <w:rFonts w:ascii="Calibri" w:hAnsi="Calibri" w:cs="Calibri"/>
        </w:rPr>
        <w:t>4.5. Документация системы управления 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содержать: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политику и цели организации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4.5.1 в ред. </w:t>
      </w:r>
      <w:hyperlink r:id="rId5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Документация системы управления охраной труда должна: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быть оформлена и изложена так, чтобы быть понятной пользователям;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Они должны быть идентифицируемыми и отслеживаемыми, а срок их хранения должен быть точно определен.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4.5.3 в ред. </w:t>
      </w:r>
      <w:hyperlink r:id="rId5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Работники должны иметь право доступа к записям данных, относящимся к их производственной среде и здоровью, с учетом требований конфиденциальности.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4.5.4 в ред. </w:t>
      </w:r>
      <w:hyperlink r:id="rId5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4.5.5. Записи данных по охране труда могут включать: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записи данных, вытекающие из осуществления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записи данных о связанных с работой травмах, ухудшениях здоровья, болезнях и </w:t>
      </w:r>
      <w:r>
        <w:rPr>
          <w:rFonts w:ascii="Calibri" w:hAnsi="Calibri" w:cs="Calibri"/>
        </w:rPr>
        <w:lastRenderedPageBreak/>
        <w:t>инцидентах;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записи данных, вытекающие из национальных законов или правил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результаты текущего контроля и реагирующего мониторинга.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4.5.5 в ред. </w:t>
      </w:r>
      <w:hyperlink r:id="rId5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332"/>
      <w:bookmarkEnd w:id="21"/>
      <w:r>
        <w:rPr>
          <w:rFonts w:ascii="Calibri" w:hAnsi="Calibri" w:cs="Calibri"/>
        </w:rPr>
        <w:t>4.6. Передача и обмен информацией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 Следует устанавливать, обеспечивать применение и своевременно вносить изменения в мероприятия и процедуры для: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получения, документирования и реагирования на внешние и внутренние сообщения, связанные с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4.6.1 в ред. </w:t>
      </w:r>
      <w:hyperlink r:id="rId5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339"/>
      <w:bookmarkEnd w:id="22"/>
      <w:r>
        <w:rPr>
          <w:rFonts w:ascii="Calibri" w:hAnsi="Calibri" w:cs="Calibri"/>
        </w:rPr>
        <w:t>Планирование и применение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341"/>
      <w:bookmarkEnd w:id="23"/>
      <w:r>
        <w:rPr>
          <w:rFonts w:ascii="Calibri" w:hAnsi="Calibri" w:cs="Calibri"/>
        </w:rPr>
        <w:t>4.7. Исходный анализ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В процессе исходного анализа оценивают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адекватность планируемых или действующих мер защиты для устранения опасностей или ограничения рисков;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проанализировать результаты наблюдений за состоянием здоровья работников.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4.7.2 в ред. </w:t>
      </w:r>
      <w:hyperlink r:id="rId5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4.7.3. Результат исходного анализа должен: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быть документально оформлен;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стать основанием для принятия решений о применении или совершенствовании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354"/>
      <w:bookmarkEnd w:id="24"/>
      <w:r>
        <w:rPr>
          <w:rFonts w:ascii="Calibri" w:hAnsi="Calibri" w:cs="Calibri"/>
        </w:rPr>
        <w:t>4.8. Планирование, разработка и применение системы управления 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4.8.1. Целью планирования должно быть создание системы управления охраной труда, поддерживающей: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как минимум, соответствие с национальными законами и правилами;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основные элементы системы управления охраной труда в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непрерывное совершенствование деятельности по охране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4.8.1 в ред. </w:t>
      </w:r>
      <w:hyperlink r:id="rId5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4.8.2.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отбор критериев сравнения для подтверждения достижения цели;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необходимой технической поддержки, ресурсов, включая человеческие и финансовые.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</w:t>
      </w:r>
      <w:hyperlink w:anchor="Par229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и представленных на </w:t>
      </w:r>
      <w:hyperlink w:anchor="Par236" w:history="1">
        <w:r>
          <w:rPr>
            <w:rFonts w:ascii="Calibri" w:hAnsi="Calibri" w:cs="Calibri"/>
            <w:color w:val="0000FF"/>
          </w:rPr>
          <w:t>рисунке 2</w:t>
        </w:r>
      </w:hyperlink>
      <w:r>
        <w:rPr>
          <w:rFonts w:ascii="Calibri" w:hAnsi="Calibri" w:cs="Calibri"/>
        </w:rPr>
        <w:t>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367"/>
      <w:bookmarkEnd w:id="25"/>
      <w:r>
        <w:rPr>
          <w:rFonts w:ascii="Calibri" w:hAnsi="Calibri" w:cs="Calibri"/>
        </w:rPr>
        <w:t>4.9. Цели по охране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специфичными для организации, а также приемлемыми и соответствующими ее размеру и характеру деятельности;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согласованными с требованиями соответствующих и применимых национальных законов и правил, а также с техническими и коммерческими обязательствами организации, относящимися к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реалистичными и достижимыми;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задокументированными и доведенными до всех соответствующих функциональных структур и уровней организации;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периодически оцениваемыми и, в случае необходимости, обновляемыми.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4.9.1 в ред. </w:t>
      </w:r>
      <w:hyperlink r:id="rId6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377"/>
      <w:bookmarkEnd w:id="26"/>
      <w:r>
        <w:rPr>
          <w:rFonts w:ascii="Calibri" w:hAnsi="Calibri" w:cs="Calibri"/>
        </w:rPr>
        <w:t>4.10. Предотвращение опасностей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7" w:name="Par378"/>
      <w:bookmarkEnd w:id="27"/>
      <w:r>
        <w:rPr>
          <w:rFonts w:ascii="Calibri" w:hAnsi="Calibri" w:cs="Calibri"/>
        </w:rPr>
        <w:t>4.10.1. Предупредительные и регулирующие меры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4.10.1.1. Опасности и риски для безопасности и здоровья работников должны быть определены и оценены на постоянной основе.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Предупредительные и регулирующие меры должны быть осуществлены в следующем порядке приоритетности: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устранение опасности/риска;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там, где оставшиеся опасности/риски не могут быть ограничены средствами коллективной защиты, работодатель должен бесплатно предоставить работникам соответствующие средства индивидуальной защиты, включая спецодежду, и принять меры по обеспечению их использования и поддержания в рабочем состоянии.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4.10.1.1 в ред. </w:t>
      </w:r>
      <w:hyperlink r:id="rId6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4.10.1.2. Следует установить процедуры или мероприятия по предупреждению и </w:t>
      </w:r>
      <w:r>
        <w:rPr>
          <w:rFonts w:ascii="Calibri" w:hAnsi="Calibri" w:cs="Calibri"/>
        </w:rPr>
        <w:lastRenderedPageBreak/>
        <w:t>регулированию опасностей и рисков, которые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соответствовать опасностям и рискам, наблюдающимся в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регулярно анализироваться и, при необходимости, модифицироваться;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выполнять требования национальных законов и иных нормативных правовых актов и отражать передовой опыт;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учитывать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4.10.1.2 в ред. </w:t>
      </w:r>
      <w:hyperlink r:id="rId6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8" w:name="Par393"/>
      <w:bookmarkEnd w:id="28"/>
      <w:r>
        <w:rPr>
          <w:rFonts w:ascii="Calibri" w:hAnsi="Calibri" w:cs="Calibri"/>
        </w:rPr>
        <w:t>4.10.2. Управление изменениями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4.10.2.1. Влияющие на охрану труда внутренние изменения (такие как прием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4.10.2.2. 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4.10.2.3.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9" w:name="Par397"/>
      <w:bookmarkEnd w:id="29"/>
      <w:r>
        <w:rPr>
          <w:rFonts w:ascii="Calibri" w:hAnsi="Calibri" w:cs="Calibri"/>
        </w:rPr>
        <w:t>4.10.3. Предупреждение аварийных ситуаций, готовность к ним и реагирование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Они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гарантировать, что имеющаяся необходимая информация, внутренние коммуникативное взаимодействие и координация обеспечат защиту всех людей в случае аварийной ситуации в рабочей зоне;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предоставлять информацию соответствующим компетентным органам, территориальным структурам окружающего района и службам аварийного реагирования и обеспечивать коммуникативное взаимодействие с ними;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предусматривать оказание первой и медицинской помощи, противопожарные мероприятия и эвакуацию всех людей, находящихся в рабочей зоне;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предоставлять соответствующую информацию и 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4.10.3.1 в ред. </w:t>
      </w:r>
      <w:hyperlink r:id="rId6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4.10.3.2. Мероприятия по предупреждению аварийных ситуаций, обеспечению готовности к ним и реагированию должны быть согласованы с внешними аварийными службами и другими органами там, где это необходимо.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4.10.3.2 в ред. </w:t>
      </w:r>
      <w:hyperlink r:id="rId6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0" w:name="Par408"/>
      <w:bookmarkEnd w:id="30"/>
      <w:r>
        <w:rPr>
          <w:rFonts w:ascii="Calibri" w:hAnsi="Calibri" w:cs="Calibri"/>
        </w:rPr>
        <w:t>4.10.4. Снабжение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4.10.4.1. Следует установить и поддерживать в рабочем состоянии процедуры, гарантированно обеспечивающие порядок, при котором: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национальных законов и правил, а также собственные требования организации по охране труда будут идентифицированы до приобретения товаров и услуг;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мероприятия по достижению соответствия с этими требованиями будут выполнены до использования этих товаров и услуг.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4.10.4.1 в ред. </w:t>
      </w:r>
      <w:hyperlink r:id="rId6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31" w:name="Par414"/>
      <w:bookmarkEnd w:id="31"/>
      <w:r>
        <w:rPr>
          <w:rFonts w:ascii="Calibri" w:hAnsi="Calibri" w:cs="Calibri"/>
        </w:rPr>
        <w:t>4.10.5. Подрядные работы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4.10.5.2. Мероприятия в отношении подрядчиков, работающих на площадке организации,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включать критерии охраны труда в процедуры оценки и выбора подрядчиков;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методично отслеживать соблюдение требований охраны труда в деятельности подрядчика на площадке организации;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гарантировать, что требуемые процедуры и мероприятия по охране труда на площадке организации будут выполнены подрядчиком (подрядчиками).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4.10.5.2 в ред. </w:t>
      </w:r>
      <w:hyperlink r:id="rId6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425"/>
      <w:bookmarkEnd w:id="32"/>
      <w:r>
        <w:rPr>
          <w:rFonts w:ascii="Calibri" w:hAnsi="Calibri" w:cs="Calibri"/>
        </w:rPr>
        <w:t>Оценка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3" w:name="Par427"/>
      <w:bookmarkEnd w:id="33"/>
      <w:r>
        <w:rPr>
          <w:rFonts w:ascii="Calibri" w:hAnsi="Calibri" w:cs="Calibri"/>
        </w:rPr>
        <w:t>4.11. Мониторинг исполнения и оценка результативности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4.11.2. Выбор показателей деятельности проводят в соответствии с размерами и характером деятельности организации и целями охраны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4.11.2 в ред. </w:t>
      </w:r>
      <w:hyperlink r:id="rId7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4.11.3. Измерения должны быть как качественные, так и количественные, соответствующие потребностям организации. Они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поддерживать процесс оценки деятельности организации, включая анализ эффективности управления руководством.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4.11.4. Мониторинг исполнения (контроль за исполнением) и оценка результативности должны: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использоваться как средства для определения степени, с которой политика и цели по </w:t>
      </w:r>
      <w:r>
        <w:rPr>
          <w:rFonts w:ascii="Calibri" w:hAnsi="Calibri" w:cs="Calibri"/>
        </w:rPr>
        <w:lastRenderedPageBreak/>
        <w:t>охране труда осуществляются, а риски регулируются;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включать результаты как текущего контроля, так и реагирующего мониторинга, и не опираться только на статистику связанных с работой травм, ухудшений здоровья, болезней и инцидентов; и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фиксироваться документально.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4.11.4 в ред. </w:t>
      </w:r>
      <w:hyperlink r:id="rId7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4.11.5. Наблюдение должно обеспечивать: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обратную связь по результатам деятельности в области охраны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4.11.6. Текущий контроль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контроль выполнения конкретных планов, установленных критериев результативности исполнения и целей;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систематическую проверку производственных систем, помещений, цехов и оборудования;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наблюдение за производственной средой, включая организацию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оценку соответствия с применимыми национальными законами и иными нормативными актами, коллективными соглашениями и другими обязательствами по охране труда, принятыми на себя организацией.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4.11.6 в ред. </w:t>
      </w:r>
      <w:hyperlink r:id="rId7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4.11.7. Реагирующий мониторинг должен включать определение, уведомление и расследование: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связанных с работой травм, ухудшений здоровья (включая мониторинг совокупных данных о временной нетрудоспособности), болезней и инцидентов;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других потерь, таких как имущественный ущерб;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программ трудовой реабилитации и восстановления здоровья работников.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4.11.7 в ред. </w:t>
      </w:r>
      <w:hyperlink r:id="rId7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4" w:name="Par459"/>
      <w:bookmarkEnd w:id="34"/>
      <w:r>
        <w:rPr>
          <w:rFonts w:ascii="Calibri" w:hAnsi="Calibri" w:cs="Calibri"/>
        </w:rPr>
        <w:t>4.12.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4.12.1. Расследование возникновения и первопричин связанных с работой травм, ухудшений здоровья, болезней и инцидентов должно выявлять любые недостатки в системе управления охраной труда и быть задокументировано.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4.12.1 в ред. </w:t>
      </w:r>
      <w:hyperlink r:id="rId7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4.12.2. Такие расследования проводят компетентные лица при соответствующем участии работников и их представителей.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4.12.3. 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4.12.4. Результаты расследований и рекомендации комитета (комиссии) по охране труда </w:t>
      </w:r>
      <w:r>
        <w:rPr>
          <w:rFonts w:ascii="Calibri" w:hAnsi="Calibri" w:cs="Calibri"/>
        </w:rPr>
        <w:lastRenderedPageBreak/>
        <w:t>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болезней и инцидентов.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4.12.5 в ред. </w:t>
      </w:r>
      <w:hyperlink r:id="rId7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5" w:name="Par469"/>
      <w:bookmarkEnd w:id="35"/>
      <w:r>
        <w:rPr>
          <w:rFonts w:ascii="Calibri" w:hAnsi="Calibri" w:cs="Calibri"/>
        </w:rPr>
        <w:t>4.13. Проверка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4.13.3. В зависимости от целесообразности проверка включает оценку элементов системы управления охраной труда в организации или ее подсистем.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должна охватывать: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политику в области охраны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работников и (или) их представителей;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обязанности и ответственность;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компетентность и подготовку;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документацию системы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передачу и обмен информацией;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планирование, развитие и функционирование системы управления охраной труда;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предупредительные и регулирующие меры;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управление изменениями;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предупреждение аварийных ситуаций, готовность к ним и реагирование;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снабжение;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подрядные работы;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мониторинг исполнения и оценку результативности;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охране здоровья;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анализ функционирования управления охраной труда руководством;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предупредительные и корректирующие действия;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непрерывное совершенствование;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любые другие цели и объекты в зависимости от необходимости.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4.13.3 в ред. </w:t>
      </w:r>
      <w:hyperlink r:id="rId80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4.13.4.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эффективными для реализации политики и целей организации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эффективными для содействия полному участию работников;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реагирующими на оценку результативности деятельности по охране труда и предыдущих проверок;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обеспечивающими соответствие требованиям национальных законов и правил, относящихся к деятельности организации;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обеспечивающими непрерывное совершенствование и применение передового опыта по охране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4.13.4 в ред. </w:t>
      </w:r>
      <w:hyperlink r:id="rId81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4.13.5. Проверку проводят компетентные, не связанные с проверяемой деятельностью лица, работающие или не работающие в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4.13.6. Результаты проверки и ее выводы доводят до лиц, ответственных за корректирующие мероприятия.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4.13.7. 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6" w:name="Par511"/>
      <w:bookmarkEnd w:id="36"/>
      <w:r>
        <w:rPr>
          <w:rFonts w:ascii="Calibri" w:hAnsi="Calibri" w:cs="Calibri"/>
        </w:rPr>
        <w:t>4.14. Анализ эффективности системы управления охраной труда руководством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4.14.1. При анализе эффективности системы управления охраной труда руководство: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оценивает необходимость изменения системы управления охраной труда, включая политику и цели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оценивает прогресс в достижении целей организации по охране труда и своевременности корректирующих действий;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4.14.2. 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4.14.3. Анализ функционирования системы управления охраной труда руководством должен учитывать: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4.14.3 в ред. </w:t>
      </w:r>
      <w:hyperlink r:id="rId8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лиц, ответственных за конкретный(е) элемент(ы) системы управления охраной труда для принятия соответствующих мер;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комитета (комиссии) по охране труда, работников и их представителей.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4.14.4 в ред. </w:t>
      </w:r>
      <w:hyperlink r:id="rId8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531"/>
      <w:bookmarkEnd w:id="37"/>
      <w:r>
        <w:rPr>
          <w:rFonts w:ascii="Calibri" w:hAnsi="Calibri" w:cs="Calibri"/>
        </w:rPr>
        <w:t>Действия по совершенствованию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8" w:name="Par533"/>
      <w:bookmarkEnd w:id="38"/>
      <w:r>
        <w:rPr>
          <w:rFonts w:ascii="Calibri" w:hAnsi="Calibri" w:cs="Calibri"/>
        </w:rPr>
        <w:t>4.15. Предупреждающие и корректирующие действия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4.15.1. 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инициирование, планирование, реализацию, проверку эффективности и документального оформления корректирующих и предупреждающих действий, включая внесение изменений в саму систему управления охраной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4.15.2. 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другие 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9" w:name="Par539"/>
      <w:bookmarkEnd w:id="39"/>
      <w:r>
        <w:rPr>
          <w:rFonts w:ascii="Calibri" w:hAnsi="Calibri" w:cs="Calibri"/>
        </w:rPr>
        <w:t>4.16. Непрерывное совершенствование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4.16.1.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мероприятия должны учитывать: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цели организации по охране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идентификации и оценки опасных и вредных производственных факторов и рисков;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результаты контроля за исполнением и оценки результативности исполнения;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выходные данные (выводы) анализа управления системы управления охраной труда руководством;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новую информацию в области охраны труда;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результаты выполнения программ защиты и поддержки здоровья.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4.16.1 в ред. </w:t>
      </w:r>
      <w:hyperlink r:id="rId8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 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4.16.2.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0" w:name="Par562"/>
      <w:bookmarkEnd w:id="40"/>
      <w:r>
        <w:rPr>
          <w:rFonts w:ascii="Calibri" w:hAnsi="Calibri" w:cs="Calibri"/>
        </w:rPr>
        <w:t>БИБЛИОГРАФИЯ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(раздел в ред. </w:t>
      </w:r>
      <w:hyperlink r:id="rId8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>, введенного в действие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Росстандарта от 31.10.2013 N 1334-ст)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времени своего основания в 1919 г. МОТ разработала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технические руководства, отражающие согласованные точки зрения входящих в МОТ представителей трех сторон социально-трудовых отношений из 185 &lt;*&gt; стран - членов по большинству направлений охраны труда.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данным на июнь 2012 г.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Конвенции и Рекомендации МОТ, относящиеся к системе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охраной труда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pStyle w:val="ConsPlusNonformat"/>
        <w:jc w:val="both"/>
      </w:pPr>
      <w:r>
        <w:t xml:space="preserve">    Конвенции</w:t>
      </w:r>
    </w:p>
    <w:p w:rsidR="00614405" w:rsidRDefault="00614405">
      <w:pPr>
        <w:pStyle w:val="ConsPlusNonformat"/>
        <w:jc w:val="both"/>
      </w:pPr>
      <w:r>
        <w:t>Номер       Название</w:t>
      </w:r>
    </w:p>
    <w:p w:rsidR="00614405" w:rsidRDefault="00614405">
      <w:pPr>
        <w:pStyle w:val="ConsPlusNonformat"/>
        <w:jc w:val="both"/>
      </w:pPr>
      <w:r>
        <w:t xml:space="preserve"> 115        Защита от радиации, 1960</w:t>
      </w:r>
    </w:p>
    <w:p w:rsidR="00614405" w:rsidRDefault="00614405">
      <w:pPr>
        <w:pStyle w:val="ConsPlusNonformat"/>
        <w:jc w:val="both"/>
      </w:pPr>
      <w:r>
        <w:t xml:space="preserve"> 135        Представители трудящихся, 1971</w:t>
      </w:r>
    </w:p>
    <w:p w:rsidR="00614405" w:rsidRDefault="00614405">
      <w:pPr>
        <w:pStyle w:val="ConsPlusNonformat"/>
        <w:jc w:val="both"/>
      </w:pPr>
      <w:r>
        <w:t xml:space="preserve"> 136        Бензол, 1971</w:t>
      </w:r>
    </w:p>
    <w:p w:rsidR="00614405" w:rsidRDefault="00614405">
      <w:pPr>
        <w:pStyle w:val="ConsPlusNonformat"/>
        <w:jc w:val="both"/>
      </w:pPr>
      <w:r>
        <w:t xml:space="preserve"> 139        Профессиональные раковые заболевания, 1974</w:t>
      </w:r>
    </w:p>
    <w:p w:rsidR="00614405" w:rsidRDefault="00614405">
      <w:pPr>
        <w:pStyle w:val="ConsPlusNonformat"/>
        <w:jc w:val="both"/>
      </w:pPr>
      <w:r>
        <w:t xml:space="preserve"> 148        Производственная среда (загрязнение воздуха, шум, вибрация),</w:t>
      </w:r>
    </w:p>
    <w:p w:rsidR="00614405" w:rsidRDefault="00614405">
      <w:pPr>
        <w:pStyle w:val="ConsPlusNonformat"/>
        <w:jc w:val="both"/>
      </w:pPr>
      <w:r>
        <w:t xml:space="preserve">            1977</w:t>
      </w:r>
    </w:p>
    <w:p w:rsidR="00614405" w:rsidRDefault="00614405">
      <w:pPr>
        <w:pStyle w:val="ConsPlusNonformat"/>
        <w:jc w:val="both"/>
      </w:pPr>
      <w:r>
        <w:t xml:space="preserve"> 155        Безопасность и гигиена труда, 1981</w:t>
      </w:r>
    </w:p>
    <w:p w:rsidR="00614405" w:rsidRDefault="00614405">
      <w:pPr>
        <w:pStyle w:val="ConsPlusNonformat"/>
        <w:jc w:val="both"/>
      </w:pPr>
      <w:r>
        <w:t xml:space="preserve"> 161        Службы гигиены труда, 1985</w:t>
      </w:r>
    </w:p>
    <w:p w:rsidR="00614405" w:rsidRDefault="00614405">
      <w:pPr>
        <w:pStyle w:val="ConsPlusNonformat"/>
        <w:jc w:val="both"/>
      </w:pPr>
      <w:r>
        <w:t xml:space="preserve"> 162        Асбест, 1986</w:t>
      </w:r>
    </w:p>
    <w:p w:rsidR="00614405" w:rsidRDefault="00614405">
      <w:pPr>
        <w:pStyle w:val="ConsPlusNonformat"/>
        <w:jc w:val="both"/>
      </w:pPr>
      <w:r>
        <w:t xml:space="preserve"> 167        Безопасность и гигиена труда в строительстве, 1988</w:t>
      </w:r>
    </w:p>
    <w:p w:rsidR="00614405" w:rsidRDefault="00614405">
      <w:pPr>
        <w:pStyle w:val="ConsPlusNonformat"/>
        <w:jc w:val="both"/>
      </w:pPr>
      <w:r>
        <w:t xml:space="preserve"> 170        Химические вещества, 1990</w:t>
      </w:r>
    </w:p>
    <w:p w:rsidR="00614405" w:rsidRDefault="00614405">
      <w:pPr>
        <w:pStyle w:val="ConsPlusNonformat"/>
        <w:jc w:val="both"/>
      </w:pPr>
      <w:r>
        <w:t xml:space="preserve"> 174        Предупреждение крупных промышленных аварий, 1993</w:t>
      </w:r>
    </w:p>
    <w:p w:rsidR="00614405" w:rsidRDefault="00614405">
      <w:pPr>
        <w:pStyle w:val="ConsPlusNonformat"/>
        <w:jc w:val="both"/>
      </w:pPr>
      <w:r>
        <w:t xml:space="preserve"> 176        Безопасность и гигиена в шахтах, 1995</w:t>
      </w:r>
    </w:p>
    <w:p w:rsidR="00614405" w:rsidRDefault="00614405">
      <w:pPr>
        <w:pStyle w:val="ConsPlusNonformat"/>
        <w:jc w:val="both"/>
      </w:pPr>
    </w:p>
    <w:p w:rsidR="00614405" w:rsidRDefault="00614405">
      <w:pPr>
        <w:pStyle w:val="ConsPlusNonformat"/>
        <w:jc w:val="both"/>
      </w:pPr>
      <w:r>
        <w:t xml:space="preserve">   Рекомендации</w:t>
      </w:r>
    </w:p>
    <w:p w:rsidR="00614405" w:rsidRDefault="00614405">
      <w:pPr>
        <w:pStyle w:val="ConsPlusNonformat"/>
        <w:jc w:val="both"/>
      </w:pPr>
      <w:r>
        <w:t>Номер       Название</w:t>
      </w:r>
    </w:p>
    <w:p w:rsidR="00614405" w:rsidRDefault="00614405">
      <w:pPr>
        <w:pStyle w:val="ConsPlusNonformat"/>
        <w:jc w:val="both"/>
      </w:pPr>
      <w:r>
        <w:t xml:space="preserve"> 114        Защита от радиации, 1960</w:t>
      </w:r>
    </w:p>
    <w:p w:rsidR="00614405" w:rsidRDefault="00614405">
      <w:pPr>
        <w:pStyle w:val="ConsPlusNonformat"/>
        <w:jc w:val="both"/>
      </w:pPr>
      <w:r>
        <w:t xml:space="preserve"> 144        Бензол, 1971</w:t>
      </w:r>
    </w:p>
    <w:p w:rsidR="00614405" w:rsidRDefault="00614405">
      <w:pPr>
        <w:pStyle w:val="ConsPlusNonformat"/>
        <w:jc w:val="both"/>
      </w:pPr>
      <w:r>
        <w:t xml:space="preserve"> 147        Профессиональные раковые заболевания, 1974</w:t>
      </w:r>
    </w:p>
    <w:p w:rsidR="00614405" w:rsidRDefault="00614405">
      <w:pPr>
        <w:pStyle w:val="ConsPlusNonformat"/>
        <w:jc w:val="both"/>
      </w:pPr>
      <w:r>
        <w:t xml:space="preserve"> 156        Производственная среда (загрязнение воздуха, шум, вибрация),</w:t>
      </w:r>
    </w:p>
    <w:p w:rsidR="00614405" w:rsidRDefault="00614405">
      <w:pPr>
        <w:pStyle w:val="ConsPlusNonformat"/>
        <w:jc w:val="both"/>
      </w:pPr>
      <w:r>
        <w:t xml:space="preserve">            1977</w:t>
      </w:r>
    </w:p>
    <w:p w:rsidR="00614405" w:rsidRDefault="00614405">
      <w:pPr>
        <w:pStyle w:val="ConsPlusNonformat"/>
        <w:jc w:val="both"/>
      </w:pPr>
      <w:r>
        <w:t xml:space="preserve"> 164        Безопасность и гигиена труда, 1981</w:t>
      </w:r>
    </w:p>
    <w:p w:rsidR="00614405" w:rsidRDefault="00614405">
      <w:pPr>
        <w:pStyle w:val="ConsPlusNonformat"/>
        <w:jc w:val="both"/>
      </w:pPr>
      <w:r>
        <w:t xml:space="preserve"> 171        Службы гигиены труда, 1985</w:t>
      </w:r>
    </w:p>
    <w:p w:rsidR="00614405" w:rsidRDefault="00614405">
      <w:pPr>
        <w:pStyle w:val="ConsPlusNonformat"/>
        <w:jc w:val="both"/>
      </w:pPr>
      <w:r>
        <w:t xml:space="preserve"> 172        Асбест, 1986</w:t>
      </w:r>
    </w:p>
    <w:p w:rsidR="00614405" w:rsidRDefault="00614405">
      <w:pPr>
        <w:pStyle w:val="ConsPlusNonformat"/>
        <w:jc w:val="both"/>
      </w:pPr>
      <w:r>
        <w:t xml:space="preserve"> 175        Безопасность и гигиена труда в строительстве, 1988</w:t>
      </w:r>
    </w:p>
    <w:p w:rsidR="00614405" w:rsidRDefault="00614405">
      <w:pPr>
        <w:pStyle w:val="ConsPlusNonformat"/>
        <w:jc w:val="both"/>
      </w:pPr>
      <w:r>
        <w:t xml:space="preserve"> 177        Химические вещества, 1990</w:t>
      </w:r>
    </w:p>
    <w:p w:rsidR="00614405" w:rsidRDefault="00614405">
      <w:pPr>
        <w:pStyle w:val="ConsPlusNonformat"/>
        <w:jc w:val="both"/>
      </w:pPr>
      <w:r>
        <w:t xml:space="preserve"> 181        Предупреждение крупных промышленных аварий, 1993</w:t>
      </w:r>
    </w:p>
    <w:p w:rsidR="00614405" w:rsidRDefault="00614405">
      <w:pPr>
        <w:pStyle w:val="ConsPlusNonformat"/>
        <w:jc w:val="both"/>
      </w:pPr>
      <w:r>
        <w:t xml:space="preserve"> 183        Безопасность и гигиена в шахтах, 1995.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Избранные кодексы правил безопасности, разработанные МОТ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крупных промышленных аварий (Женева, 1991)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труда и здоровья при работе в открытых разработках (Женева, 1991)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и охрана труда в строительстве (Женева, 1992)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при работе с химическими веществами (Женева, 1993)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несчастных случаев на борту судна в море и порту (Женева, 2-е изд., 1996)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вопросами, связанными с алкоголем и наркотиками, на рабочем месте (Женева, 1996)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 и уведомление о несчастных случаях на производстве и профессиональных </w:t>
      </w:r>
      <w:r>
        <w:rPr>
          <w:rFonts w:ascii="Calibri" w:hAnsi="Calibri" w:cs="Calibri"/>
        </w:rPr>
        <w:lastRenderedPageBreak/>
        <w:t>заболеваниях (Женева, 1996)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персональной информации о работниках (Женева, 1997)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и охрана труда при работе в лесном хозяйстве (Женева, 2-е изд., 1998)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Факторы окружающей среды на рабочем месте (Женева, 2001).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Публикации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данному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вопросу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4405">
        <w:rPr>
          <w:rFonts w:ascii="Calibri" w:hAnsi="Calibri" w:cs="Calibri"/>
          <w:lang w:val="en-US"/>
        </w:rPr>
        <w:t xml:space="preserve">ILO: Declaration on Fundamental Principles and Rights at Work and its Follow-up, adopted by the International Labour Conference at its 86th Session, 1998. </w:t>
      </w:r>
      <w:r>
        <w:rPr>
          <w:rFonts w:ascii="Calibri" w:hAnsi="Calibri" w:cs="Calibri"/>
        </w:rPr>
        <w:t>Geneva, 1998 (Декларация МОТ о фундаментальных принципах и правах работников и контроле за их соблюдением. Принята на 86-й сессии Международной Конференции Труда 1998 г. Женева, 1998)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4405">
        <w:rPr>
          <w:rFonts w:ascii="Calibri" w:hAnsi="Calibri" w:cs="Calibri"/>
          <w:lang w:val="en-US"/>
        </w:rPr>
        <w:t>ILO: Encyclopaedia of occupational health and safety, edited by Jeanne Mager Stellman. Geneva, 4th edition, 1998; 4-volume print version and CD-ROM (</w:t>
      </w:r>
      <w:r>
        <w:rPr>
          <w:rFonts w:ascii="Calibri" w:hAnsi="Calibri" w:cs="Calibri"/>
        </w:rPr>
        <w:t>Энциклопедия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МОТ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безопасности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гигиене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труда</w:t>
      </w:r>
      <w:r w:rsidRPr="00614405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Под редакцией Джин Мейджер Стеллмэн. Женева, 4-е изд., 1998, четырехтомное издание или CD-ROM)</w:t>
      </w:r>
    </w:p>
    <w:p w:rsidR="00614405" w:rsidRP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614405">
        <w:rPr>
          <w:rFonts w:ascii="Calibri" w:hAnsi="Calibri" w:cs="Calibri"/>
          <w:lang w:val="en-US"/>
        </w:rPr>
        <w:t xml:space="preserve">ILO: Tehnical and ethical guidelines for workers' health surveillance, Occupational Safety and Health Series, No. 72. </w:t>
      </w:r>
      <w:r>
        <w:rPr>
          <w:rFonts w:ascii="Calibri" w:hAnsi="Calibri" w:cs="Calibri"/>
        </w:rPr>
        <w:t>Geneva, 1998 (МОТ: технические и этические принципы наблюдения за состоянием здоровья работников. Серия</w:t>
      </w:r>
      <w:r w:rsidRPr="00614405">
        <w:rPr>
          <w:rFonts w:ascii="Calibri" w:hAnsi="Calibri" w:cs="Calibri"/>
          <w:lang w:val="en-US"/>
        </w:rPr>
        <w:t xml:space="preserve"> "</w:t>
      </w:r>
      <w:r>
        <w:rPr>
          <w:rFonts w:ascii="Calibri" w:hAnsi="Calibri" w:cs="Calibri"/>
        </w:rPr>
        <w:t>Безопасность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гигиена</w:t>
      </w:r>
      <w:r w:rsidRPr="006144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труда</w:t>
      </w:r>
      <w:r w:rsidRPr="00614405">
        <w:rPr>
          <w:rFonts w:ascii="Calibri" w:hAnsi="Calibri" w:cs="Calibri"/>
          <w:lang w:val="en-US"/>
        </w:rPr>
        <w:t xml:space="preserve">", </w:t>
      </w:r>
      <w:r>
        <w:rPr>
          <w:rFonts w:ascii="Calibri" w:hAnsi="Calibri" w:cs="Calibri"/>
        </w:rPr>
        <w:t>вып</w:t>
      </w:r>
      <w:r w:rsidRPr="00614405">
        <w:rPr>
          <w:rFonts w:ascii="Calibri" w:hAnsi="Calibri" w:cs="Calibri"/>
          <w:lang w:val="en-US"/>
        </w:rPr>
        <w:t xml:space="preserve">. 72, </w:t>
      </w:r>
      <w:r>
        <w:rPr>
          <w:rFonts w:ascii="Calibri" w:hAnsi="Calibri" w:cs="Calibri"/>
        </w:rPr>
        <w:t>Женева</w:t>
      </w:r>
      <w:r w:rsidRPr="00614405">
        <w:rPr>
          <w:rFonts w:ascii="Calibri" w:hAnsi="Calibri" w:cs="Calibri"/>
          <w:lang w:val="en-US"/>
        </w:rPr>
        <w:t>, 1998)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4405">
        <w:rPr>
          <w:rFonts w:ascii="Calibri" w:hAnsi="Calibri" w:cs="Calibri"/>
          <w:lang w:val="en-US"/>
        </w:rPr>
        <w:t xml:space="preserve">United Nations Conference on Environment and Development (UNCED): Agenda 21 (Chapter 19 on environmentally sound management of chemicals). </w:t>
      </w:r>
      <w:r>
        <w:rPr>
          <w:rFonts w:ascii="Calibri" w:hAnsi="Calibri" w:cs="Calibri"/>
        </w:rPr>
        <w:t>Rio de Janeiro, Brazil, 1992 (Конференция ООН по окружающей среде и развитию (ЮНСЕД). Повестка дня 21 век (Глава 19 об экологически рациональном управлении химическими веществами). Рио-де-Жанейро, Бразилия, 1992).</w:t>
      </w: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405" w:rsidRDefault="006144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6FB0" w:rsidRDefault="002B6FB0">
      <w:bookmarkStart w:id="41" w:name="_GoBack"/>
      <w:bookmarkEnd w:id="41"/>
    </w:p>
    <w:sectPr w:rsidR="002B6FB0" w:rsidSect="0006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05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4405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95ADAC2AD7A9B101180E7139A2F19F29FBB72B1C197649A0B7638C10o1H8M" TargetMode="External"/><Relationship Id="rId18" Type="http://schemas.openxmlformats.org/officeDocument/2006/relationships/hyperlink" Target="consultantplus://offline/ref=B995ADAC2AD7A9B1011811643CA2F19F29FFB62E1C162B43A8EE6F8E17173A8BF6819969043083o9H0M" TargetMode="External"/><Relationship Id="rId26" Type="http://schemas.openxmlformats.org/officeDocument/2006/relationships/hyperlink" Target="consultantplus://offline/ref=B995ADAC2AD7A9B1011811643CA2F19F29FFB62E1C162B43A8EE6F8E17173A8BF6819969043081o9H9M" TargetMode="External"/><Relationship Id="rId39" Type="http://schemas.openxmlformats.org/officeDocument/2006/relationships/hyperlink" Target="consultantplus://offline/ref=B995ADAC2AD7A9B1011811643CA2F19F29FFB62E1C162B43A8EE6F8E17173A8BF6819969043084o9H8M" TargetMode="External"/><Relationship Id="rId21" Type="http://schemas.openxmlformats.org/officeDocument/2006/relationships/hyperlink" Target="consultantplus://offline/ref=B995ADAC2AD7A9B1011811643CA2F19F29FFB62E1C162B43A8EE6F8E17173A8BF6819969043081o9H9M" TargetMode="External"/><Relationship Id="rId34" Type="http://schemas.openxmlformats.org/officeDocument/2006/relationships/hyperlink" Target="consultantplus://offline/ref=B995ADAC2AD7A9B1011811643CA2F19F29FFB62E1C162B43A8EE6F8E17173A8BF6819969043083o9H9M" TargetMode="External"/><Relationship Id="rId42" Type="http://schemas.openxmlformats.org/officeDocument/2006/relationships/hyperlink" Target="consultantplus://offline/ref=B68D538D08A97D47B1167F24AADAD3701641B9F1819ABF5227DD2DA8F2030ACC4C4953EF87C33Ep6H1M" TargetMode="External"/><Relationship Id="rId47" Type="http://schemas.openxmlformats.org/officeDocument/2006/relationships/hyperlink" Target="consultantplus://offline/ref=B68D538D08A97D47B1167F24AADAD3701641B9F1819ABF5227DD2DA8F2030ACC4C4953EF87C331p6H6M" TargetMode="External"/><Relationship Id="rId50" Type="http://schemas.openxmlformats.org/officeDocument/2006/relationships/hyperlink" Target="consultantplus://offline/ref=B68D538D08A97D47B1167F24AADAD3701641B9F1819ABF5227DD2DA8F2030ACC4C4953EF87C331p6H6M" TargetMode="External"/><Relationship Id="rId55" Type="http://schemas.openxmlformats.org/officeDocument/2006/relationships/hyperlink" Target="consultantplus://offline/ref=B68D538D08A97D47B1167F24AADAD3701641B9F1819ABF5227DD2DA8F2030ACC4C4953EF87C331p6H6M" TargetMode="External"/><Relationship Id="rId63" Type="http://schemas.openxmlformats.org/officeDocument/2006/relationships/hyperlink" Target="consultantplus://offline/ref=B68D538D08A97D47B1167F24AADAD3701641B9F1819ABF5227DD2DA8F2030ACC4C4953EF87C23Cp6H7M" TargetMode="External"/><Relationship Id="rId68" Type="http://schemas.openxmlformats.org/officeDocument/2006/relationships/hyperlink" Target="consultantplus://offline/ref=B68D538D08A97D47B1167F24AADAD3701641B9F1819ABF5227DD2DA8F2030ACC4C4953EF87C23Dp6HBM" TargetMode="External"/><Relationship Id="rId76" Type="http://schemas.openxmlformats.org/officeDocument/2006/relationships/hyperlink" Target="consultantplus://offline/ref=B68D538D08A97D47B1167F24AADAD3701641B9F1819ABF5227DD2DA8F2030ACC4C4953EF87C23Fp6HAM" TargetMode="External"/><Relationship Id="rId84" Type="http://schemas.openxmlformats.org/officeDocument/2006/relationships/hyperlink" Target="consultantplus://offline/ref=B68D538D08A97D47B1167F24AADAD3701641B9F1819ABF5227DD2DA8F2030ACC4C4953EF87C231p6HB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B995ADAC2AD7A9B1011811643CA2F19F29FFB62E1C162B43A8EE6F8E17173A8BF6819969043083o9H9M" TargetMode="External"/><Relationship Id="rId71" Type="http://schemas.openxmlformats.org/officeDocument/2006/relationships/hyperlink" Target="consultantplus://offline/ref=B68D538D08A97D47B1167F24AADAD3701641B9F1819ABF5227DD2DA8F2030ACC4C4953EF87C23Fp6H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95ADAC2AD7A9B1011811643CA2F19F29FFB62E1C162B43A8EE6F8E17173A8BF6819969043083o9HBM" TargetMode="External"/><Relationship Id="rId29" Type="http://schemas.openxmlformats.org/officeDocument/2006/relationships/hyperlink" Target="consultantplus://offline/ref=B995ADAC2AD7A9B1011811643CA2F19F29FFB62E1C162B43A8EE6F8E17173A8BF6819969043081o9H9M" TargetMode="External"/><Relationship Id="rId11" Type="http://schemas.openxmlformats.org/officeDocument/2006/relationships/hyperlink" Target="consultantplus://offline/ref=B995ADAC2AD7A9B101180E7139A2F19F29FDB52C16187649A0B7638C1018659CF1C8956804308299o6H6M" TargetMode="External"/><Relationship Id="rId24" Type="http://schemas.openxmlformats.org/officeDocument/2006/relationships/hyperlink" Target="consultantplus://offline/ref=B995ADAC2AD7A9B1011811643CA2F19F29FFB62E1C162B43A8EE6F8E17173A8BF6819969043081o9H9M" TargetMode="External"/><Relationship Id="rId32" Type="http://schemas.openxmlformats.org/officeDocument/2006/relationships/hyperlink" Target="consultantplus://offline/ref=B995ADAC2AD7A9B1011811643CA2F19F29FFB62E1C162B43A8EE6F8E17173A8BF6819969043086o9HDM" TargetMode="External"/><Relationship Id="rId37" Type="http://schemas.openxmlformats.org/officeDocument/2006/relationships/hyperlink" Target="consultantplus://offline/ref=B995ADAC2AD7A9B1011811643CA2F19F29FFB62E1C162B43A8EE6F8E17173A8BF6819969043086o9HFM" TargetMode="External"/><Relationship Id="rId40" Type="http://schemas.openxmlformats.org/officeDocument/2006/relationships/image" Target="media/image1.png"/><Relationship Id="rId45" Type="http://schemas.openxmlformats.org/officeDocument/2006/relationships/hyperlink" Target="consultantplus://offline/ref=B68D538D08A97D47B1167F24AADAD3701641B9F1819ABF5227DD2DA8F2030ACC4C4953EF87C33Ep6H1M" TargetMode="External"/><Relationship Id="rId53" Type="http://schemas.openxmlformats.org/officeDocument/2006/relationships/hyperlink" Target="consultantplus://offline/ref=B68D538D08A97D47B1167F24AADAD3701641B9F1819ABF5227DD2DA8F2030ACC4C4953EF87C331p6H6M" TargetMode="External"/><Relationship Id="rId58" Type="http://schemas.openxmlformats.org/officeDocument/2006/relationships/hyperlink" Target="consultantplus://offline/ref=B68D538D08A97D47B1167F24AADAD3701641B9F1819ABF5227DD2DA8F2030ACC4C4953EF87C331p6H6M" TargetMode="External"/><Relationship Id="rId66" Type="http://schemas.openxmlformats.org/officeDocument/2006/relationships/hyperlink" Target="consultantplus://offline/ref=B68D538D08A97D47B1167F24AADAD3701641B9F1819ABF5227DD2DA8F2030ACC4C4953EF87C23Dp6HBM" TargetMode="External"/><Relationship Id="rId74" Type="http://schemas.openxmlformats.org/officeDocument/2006/relationships/hyperlink" Target="consultantplus://offline/ref=B68D538D08A97D47B1167F24AADAD3701641B9F1819ABF5227DD2DA8F2030ACC4C4953EF87C339p6H2M" TargetMode="External"/><Relationship Id="rId79" Type="http://schemas.openxmlformats.org/officeDocument/2006/relationships/hyperlink" Target="consultantplus://offline/ref=B68D538D08A97D47B1167F24AADAD3701641B9F1819ABF5227DD2DA8F2030ACC4C4953EF87C231p6HBM" TargetMode="External"/><Relationship Id="rId87" Type="http://schemas.openxmlformats.org/officeDocument/2006/relationships/hyperlink" Target="consultantplus://offline/ref=B68D538D08A97D47B1167F24AADAD3701641B9F1819ABF5227DD2DA8F2030ACC4C4953EF87C13Cp6H7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68D538D08A97D47B1167F24AADAD3701641B9F1819ABF5227DD2DA8F2030ACC4C4953EF87C23Bp6H7M" TargetMode="External"/><Relationship Id="rId82" Type="http://schemas.openxmlformats.org/officeDocument/2006/relationships/hyperlink" Target="consultantplus://offline/ref=B68D538D08A97D47B1167F24AADAD3701641B9F1819ABF5227DD2DA8F2030ACC4C4953EF87C339p6H2M" TargetMode="External"/><Relationship Id="rId19" Type="http://schemas.openxmlformats.org/officeDocument/2006/relationships/hyperlink" Target="consultantplus://offline/ref=B995ADAC2AD7A9B1011811643CA2F19F29FFB62E1C162B43A8EE6F8E17173A8BF6819969043080o9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5ADAC2AD7A9B1011811643CA2F19F29F8B4291E162B43A8EE6F8Eo1H7M" TargetMode="External"/><Relationship Id="rId14" Type="http://schemas.openxmlformats.org/officeDocument/2006/relationships/hyperlink" Target="consultantplus://offline/ref=B995ADAC2AD7A9B1011811643CA2F19F29FFB62E1C162B43A8EE6F8E17173A8BF6819969043083o9HAM" TargetMode="External"/><Relationship Id="rId22" Type="http://schemas.openxmlformats.org/officeDocument/2006/relationships/hyperlink" Target="consultantplus://offline/ref=B995ADAC2AD7A9B1011811643CA2F19F29FFB62E1C162B43A8EE6F8E17173A8BF6819969043081o9H9M" TargetMode="External"/><Relationship Id="rId27" Type="http://schemas.openxmlformats.org/officeDocument/2006/relationships/hyperlink" Target="consultantplus://offline/ref=B995ADAC2AD7A9B1011811643CA2F19F29FFB62E1C162B43A8EE6F8E17173A8BF6819969043081o9H9M" TargetMode="External"/><Relationship Id="rId30" Type="http://schemas.openxmlformats.org/officeDocument/2006/relationships/hyperlink" Target="consultantplus://offline/ref=B995ADAC2AD7A9B1011811643CA2F19F29FFB62E1C162B43A8EE6F8E17173A8BF6819969043081o9H9M" TargetMode="External"/><Relationship Id="rId35" Type="http://schemas.openxmlformats.org/officeDocument/2006/relationships/hyperlink" Target="consultantplus://offline/ref=B995ADAC2AD7A9B1011811643CA2F19F29FFB62E1C162B43A8EE6F8E17173A8BF6819969043086o9HFM" TargetMode="External"/><Relationship Id="rId43" Type="http://schemas.openxmlformats.org/officeDocument/2006/relationships/hyperlink" Target="consultantplus://offline/ref=B68D538D08A97D47B1167F24AADAD3701641B9F1819ABF5227DD2DA8F2030ACC4C4953EF87C33Ep6H1M" TargetMode="External"/><Relationship Id="rId48" Type="http://schemas.openxmlformats.org/officeDocument/2006/relationships/hyperlink" Target="consultantplus://offline/ref=B68D538D08A97D47B1167F24AADAD3701641B9F1819ABF5227DD2DA8F2030ACC4C4953EF87C331p6H6M" TargetMode="External"/><Relationship Id="rId56" Type="http://schemas.openxmlformats.org/officeDocument/2006/relationships/hyperlink" Target="consultantplus://offline/ref=B68D538D08A97D47B1167F24AADAD3701641B9F1819ABF5227DD2DA8F2030ACC4C4953EF87C331p6H6M" TargetMode="External"/><Relationship Id="rId64" Type="http://schemas.openxmlformats.org/officeDocument/2006/relationships/hyperlink" Target="consultantplus://offline/ref=B68D538D08A97D47B1167F24AADAD3701641B9F1819ABF5227DD2DA8F2030ACC4C4953EF87C23Cp6H7M" TargetMode="External"/><Relationship Id="rId69" Type="http://schemas.openxmlformats.org/officeDocument/2006/relationships/hyperlink" Target="consultantplus://offline/ref=B68D538D08A97D47B1167F24AADAD3701641B9F1819ABF5227DD2DA8F2030ACC4C4953EF87C23Dp6HBM" TargetMode="External"/><Relationship Id="rId77" Type="http://schemas.openxmlformats.org/officeDocument/2006/relationships/hyperlink" Target="consultantplus://offline/ref=B68D538D08A97D47B1167F24AADAD3701641B9F1819ABF5227DD2DA8F2030ACC4C4953EF87C231p6H5M" TargetMode="External"/><Relationship Id="rId8" Type="http://schemas.openxmlformats.org/officeDocument/2006/relationships/hyperlink" Target="consultantplus://offline/ref=B995ADAC2AD7A9B1011811643CA2F19F29F8BB2A19162B43A8EE6F8Eo1H7M" TargetMode="External"/><Relationship Id="rId51" Type="http://schemas.openxmlformats.org/officeDocument/2006/relationships/hyperlink" Target="consultantplus://offline/ref=B68D538D08A97D47B1167F24AADAD3701641B9F1819ABF5227DD2DA8F2030ACC4C4953EF87C339p6H2M" TargetMode="External"/><Relationship Id="rId72" Type="http://schemas.openxmlformats.org/officeDocument/2006/relationships/hyperlink" Target="consultantplus://offline/ref=B68D538D08A97D47B1167F24AADAD3701641B9F1819ABF5227DD2DA8F2030ACC4C4953EF87C339p6H2M" TargetMode="External"/><Relationship Id="rId80" Type="http://schemas.openxmlformats.org/officeDocument/2006/relationships/hyperlink" Target="consultantplus://offline/ref=B68D538D08A97D47B1167F24AADAD3701641B9F1819ABF5227DD2DA8F2030ACC4C4953EF87C231p6HBM" TargetMode="External"/><Relationship Id="rId85" Type="http://schemas.openxmlformats.org/officeDocument/2006/relationships/hyperlink" Target="consultantplus://offline/ref=B68D538D08A97D47B1167F24AADAD3701641B9F1819ABF5227DD2DA8F2030ACC4C4953EF87C339p6H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95ADAC2AD7A9B1011811643CA2F19F21FBB02D154B214BF1E26D8918482D8CBF8D98690535o8H1M" TargetMode="External"/><Relationship Id="rId17" Type="http://schemas.openxmlformats.org/officeDocument/2006/relationships/hyperlink" Target="consultantplus://offline/ref=B995ADAC2AD7A9B1011811643CA2F19F29FFB62E1C162B43A8EE6F8E17173A8BF6819969043083o9HBM" TargetMode="External"/><Relationship Id="rId25" Type="http://schemas.openxmlformats.org/officeDocument/2006/relationships/hyperlink" Target="consultantplus://offline/ref=B995ADAC2AD7A9B1011811643CA2F19F29FFB62E1C162B43A8EE6F8E17173A8BF6819969043081o9H9M" TargetMode="External"/><Relationship Id="rId33" Type="http://schemas.openxmlformats.org/officeDocument/2006/relationships/hyperlink" Target="consultantplus://offline/ref=B995ADAC2AD7A9B1011811643CA2F19F29FFB62E1C162B43A8EE6F8E17173A8BF6819969043086o9HFM" TargetMode="External"/><Relationship Id="rId38" Type="http://schemas.openxmlformats.org/officeDocument/2006/relationships/hyperlink" Target="consultantplus://offline/ref=B995ADAC2AD7A9B1011811643CA2F19F29FFB62E1C162B43A8EE6F8E17173A8BF6819969043086o9HFM" TargetMode="External"/><Relationship Id="rId46" Type="http://schemas.openxmlformats.org/officeDocument/2006/relationships/hyperlink" Target="consultantplus://offline/ref=B68D538D08A97D47B1167F24AADAD3701641B9F1819ABF5227DD2DA8F2030ACC4C4953EF87C331p6H1M" TargetMode="External"/><Relationship Id="rId59" Type="http://schemas.openxmlformats.org/officeDocument/2006/relationships/hyperlink" Target="consultantplus://offline/ref=B68D538D08A97D47B1167F24AADAD3701641B9F1819ABF5227DD2DA8F2030ACC4C4953EF87C339p6H2M" TargetMode="External"/><Relationship Id="rId67" Type="http://schemas.openxmlformats.org/officeDocument/2006/relationships/hyperlink" Target="consultantplus://offline/ref=B68D538D08A97D47B1167F24AADAD3701641B9F1819ABF5227DD2DA8F2030ACC4C4953EF87C23Dp6HBM" TargetMode="External"/><Relationship Id="rId20" Type="http://schemas.openxmlformats.org/officeDocument/2006/relationships/hyperlink" Target="consultantplus://offline/ref=B995ADAC2AD7A9B1011811643CA2F19F29FFB62E1C162B43A8EE6F8E17173A8BF6819969043081o9H9M" TargetMode="External"/><Relationship Id="rId41" Type="http://schemas.openxmlformats.org/officeDocument/2006/relationships/hyperlink" Target="consultantplus://offline/ref=B68D538D08A97D47B1167F24AADAD3701641B9F1819ABF5227DD2DA8F2030ACC4C4953EF87C33Ep6H1M" TargetMode="External"/><Relationship Id="rId54" Type="http://schemas.openxmlformats.org/officeDocument/2006/relationships/hyperlink" Target="consultantplus://offline/ref=B68D538D08A97D47B1167F24AADAD3701641B9F1819ABF5227DD2DA8F2030ACC4C4953EF87C331p6H6M" TargetMode="External"/><Relationship Id="rId62" Type="http://schemas.openxmlformats.org/officeDocument/2006/relationships/hyperlink" Target="consultantplus://offline/ref=B68D538D08A97D47B1167F24AADAD3701641B9F1819ABF5227DD2DA8F2030ACC4C4953EF87C23Cp6H1M" TargetMode="External"/><Relationship Id="rId70" Type="http://schemas.openxmlformats.org/officeDocument/2006/relationships/hyperlink" Target="consultantplus://offline/ref=B68D538D08A97D47B1167F24AADAD3701641B9F1819ABF5227DD2DA8F2030ACC4C4953EF87C23Fp6H4M" TargetMode="External"/><Relationship Id="rId75" Type="http://schemas.openxmlformats.org/officeDocument/2006/relationships/hyperlink" Target="consultantplus://offline/ref=B68D538D08A97D47B1167F24AADAD3701641B9F1819ABF5227DD2DA8F2030ACC4C4953EF87C23Fp6HAM" TargetMode="External"/><Relationship Id="rId83" Type="http://schemas.openxmlformats.org/officeDocument/2006/relationships/hyperlink" Target="consultantplus://offline/ref=B68D538D08A97D47B1167F24AADAD3701641B9F1819ABF5227DD2DA8F2030ACC4C4953EF87C231p6HB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5ADAC2AD7A9B101180E7139A2F19F29FBB72B1C197649A0B7638C10o1H8M" TargetMode="External"/><Relationship Id="rId15" Type="http://schemas.openxmlformats.org/officeDocument/2006/relationships/hyperlink" Target="consultantplus://offline/ref=B995ADAC2AD7A9B1011811643CA2F19F29FFB62E1C162B43A8EE6F8E17173A8BF6819969043083o9HBM" TargetMode="External"/><Relationship Id="rId23" Type="http://schemas.openxmlformats.org/officeDocument/2006/relationships/hyperlink" Target="consultantplus://offline/ref=B995ADAC2AD7A9B1011811643CA2F19F29FFB62E1C162B43A8EE6F8E17173A8BF6819969043081o9H9M" TargetMode="External"/><Relationship Id="rId28" Type="http://schemas.openxmlformats.org/officeDocument/2006/relationships/hyperlink" Target="consultantplus://offline/ref=B995ADAC2AD7A9B1011811643CA2F19F29FFB62E1C162B43A8EE6F8E17173A8BF6819969043081o9H9M" TargetMode="External"/><Relationship Id="rId36" Type="http://schemas.openxmlformats.org/officeDocument/2006/relationships/hyperlink" Target="consultantplus://offline/ref=B995ADAC2AD7A9B1011811643CA2F19F29FFB62E1C162B43A8EE6F8E17173A8BF6819969043086o9HFM" TargetMode="External"/><Relationship Id="rId49" Type="http://schemas.openxmlformats.org/officeDocument/2006/relationships/hyperlink" Target="consultantplus://offline/ref=B68D538D08A97D47B1167F24AADAD3701641B9F1819ABF5227DD2DA8F2030ACC4C4953EF87C331p6H6M" TargetMode="External"/><Relationship Id="rId57" Type="http://schemas.openxmlformats.org/officeDocument/2006/relationships/hyperlink" Target="consultantplus://offline/ref=B68D538D08A97D47B1167F24AADAD3701641B9F1819ABF5227DD2DA8F2030ACC4C4953EF87C339p6H2M" TargetMode="External"/><Relationship Id="rId10" Type="http://schemas.openxmlformats.org/officeDocument/2006/relationships/hyperlink" Target="consultantplus://offline/ref=B995ADAC2AD7A9B101180E7139A2F19F29FDB52C16187649A0B7638C1018659CF1C8956804308299o6H6M" TargetMode="External"/><Relationship Id="rId31" Type="http://schemas.openxmlformats.org/officeDocument/2006/relationships/hyperlink" Target="consultantplus://offline/ref=B995ADAC2AD7A9B1011811643CA2F19F29FFB62E1C162B43A8EE6F8E17173A8BF6819969043081o9H9M" TargetMode="External"/><Relationship Id="rId44" Type="http://schemas.openxmlformats.org/officeDocument/2006/relationships/hyperlink" Target="consultantplus://offline/ref=B68D538D08A97D47B1167F24AADAD3701641B9F1819ABF5227DD2DA8F2030ACC4C4953EF87C33Ep6H1M" TargetMode="External"/><Relationship Id="rId52" Type="http://schemas.openxmlformats.org/officeDocument/2006/relationships/hyperlink" Target="consultantplus://offline/ref=B68D538D08A97D47B1167F24AADAD3701641B9F1819ABF5227DD2DA8F2030ACC4C4953EF87C331p6H6M" TargetMode="External"/><Relationship Id="rId60" Type="http://schemas.openxmlformats.org/officeDocument/2006/relationships/hyperlink" Target="consultantplus://offline/ref=B68D538D08A97D47B1167F24AADAD3701641B9F1819ABF5227DD2DA8F2030ACC4C4953EF87C23Bp6H1M" TargetMode="External"/><Relationship Id="rId65" Type="http://schemas.openxmlformats.org/officeDocument/2006/relationships/hyperlink" Target="consultantplus://offline/ref=B68D538D08A97D47B1167F24AADAD3701641B9F1819ABF5227DD2DA8F2030ACC4C4953EF87C23Dp6H5M" TargetMode="External"/><Relationship Id="rId73" Type="http://schemas.openxmlformats.org/officeDocument/2006/relationships/hyperlink" Target="consultantplus://offline/ref=B68D538D08A97D47B1167F24AADAD3701641B9F1819ABF5227DD2DA8F2030ACC4C4953EF87C23Fp6HAM" TargetMode="External"/><Relationship Id="rId78" Type="http://schemas.openxmlformats.org/officeDocument/2006/relationships/hyperlink" Target="consultantplus://offline/ref=B68D538D08A97D47B1167F24AADAD3701641B9F1819ABF5227DD2DA8F2030ACC4C4953EF87C231p6HBM" TargetMode="External"/><Relationship Id="rId81" Type="http://schemas.openxmlformats.org/officeDocument/2006/relationships/hyperlink" Target="consultantplus://offline/ref=B68D538D08A97D47B1167F24AADAD3701641B9F1819ABF5227DD2DA8F2030ACC4C4953EF87C231p6HBM" TargetMode="External"/><Relationship Id="rId86" Type="http://schemas.openxmlformats.org/officeDocument/2006/relationships/hyperlink" Target="consultantplus://offline/ref=B68D538D08A97D47B1167F24AADAD3701641B9F1819ABF5227DD2DA8F2030ACC4C4953EF87C231p6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11067</Words>
  <Characters>63084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1</cp:revision>
  <dcterms:created xsi:type="dcterms:W3CDTF">2015-08-20T12:07:00Z</dcterms:created>
  <dcterms:modified xsi:type="dcterms:W3CDTF">2015-08-20T12:07:00Z</dcterms:modified>
</cp:coreProperties>
</file>