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D4" w:rsidRPr="008978D4" w:rsidRDefault="008978D4" w:rsidP="008978D4">
      <w:pPr>
        <w:pStyle w:val="10"/>
        <w:keepNext/>
        <w:keepLines/>
        <w:shd w:val="clear" w:color="auto" w:fill="auto"/>
        <w:spacing w:after="0" w:line="240" w:lineRule="auto"/>
        <w:ind w:firstLine="709"/>
        <w:jc w:val="right"/>
        <w:rPr>
          <w:rStyle w:val="11"/>
          <w:sz w:val="24"/>
          <w:szCs w:val="24"/>
          <w:lang w:val="ru-RU"/>
        </w:rPr>
      </w:pPr>
      <w:bookmarkStart w:id="0" w:name="bookmark0"/>
      <w:r w:rsidRPr="008978D4">
        <w:rPr>
          <w:rStyle w:val="11"/>
          <w:sz w:val="24"/>
          <w:szCs w:val="24"/>
        </w:rPr>
        <w:t xml:space="preserve">УТВЕРЖДЕНЫ </w:t>
      </w:r>
    </w:p>
    <w:p w:rsidR="008978D4" w:rsidRDefault="008978D4" w:rsidP="008978D4">
      <w:pPr>
        <w:pStyle w:val="10"/>
        <w:keepNext/>
        <w:keepLines/>
        <w:shd w:val="clear" w:color="auto" w:fill="auto"/>
        <w:spacing w:after="0" w:line="240" w:lineRule="auto"/>
        <w:ind w:firstLine="709"/>
        <w:jc w:val="right"/>
        <w:rPr>
          <w:rStyle w:val="11"/>
          <w:sz w:val="24"/>
          <w:szCs w:val="24"/>
          <w:lang w:val="ru-RU"/>
        </w:rPr>
      </w:pPr>
      <w:r w:rsidRPr="008978D4">
        <w:rPr>
          <w:rStyle w:val="11"/>
          <w:sz w:val="24"/>
          <w:szCs w:val="24"/>
        </w:rPr>
        <w:t xml:space="preserve">постановлением администрации города </w:t>
      </w:r>
    </w:p>
    <w:p w:rsidR="008978D4" w:rsidRDefault="008978D4" w:rsidP="008978D4">
      <w:pPr>
        <w:pStyle w:val="10"/>
        <w:keepNext/>
        <w:keepLines/>
        <w:shd w:val="clear" w:color="auto" w:fill="auto"/>
        <w:spacing w:after="0" w:line="240" w:lineRule="auto"/>
        <w:ind w:firstLine="709"/>
        <w:jc w:val="right"/>
        <w:rPr>
          <w:rStyle w:val="11"/>
          <w:sz w:val="24"/>
          <w:szCs w:val="24"/>
          <w:lang w:val="ru-RU"/>
        </w:rPr>
      </w:pPr>
      <w:r w:rsidRPr="008978D4">
        <w:rPr>
          <w:rStyle w:val="11"/>
          <w:sz w:val="24"/>
          <w:szCs w:val="24"/>
        </w:rPr>
        <w:t>от</w:t>
      </w:r>
      <w:r w:rsidRPr="008978D4">
        <w:rPr>
          <w:rStyle w:val="11"/>
          <w:sz w:val="24"/>
          <w:szCs w:val="24"/>
          <w:lang w:val="ru-RU"/>
        </w:rPr>
        <w:t xml:space="preserve"> 29.06.2012 №788/1</w:t>
      </w:r>
    </w:p>
    <w:p w:rsidR="008978D4" w:rsidRPr="008978D4" w:rsidRDefault="008978D4" w:rsidP="008978D4">
      <w:pPr>
        <w:pStyle w:val="10"/>
        <w:keepNext/>
        <w:keepLines/>
        <w:shd w:val="clear" w:color="auto" w:fill="auto"/>
        <w:spacing w:after="0" w:line="240" w:lineRule="auto"/>
        <w:ind w:firstLine="709"/>
        <w:jc w:val="right"/>
        <w:rPr>
          <w:rStyle w:val="11"/>
          <w:sz w:val="24"/>
          <w:szCs w:val="24"/>
          <w:lang w:val="ru-RU"/>
        </w:rPr>
      </w:pPr>
    </w:p>
    <w:p w:rsidR="008978D4" w:rsidRPr="008978D4" w:rsidRDefault="008978D4" w:rsidP="008978D4">
      <w:pPr>
        <w:pStyle w:val="3"/>
        <w:shd w:val="clear" w:color="auto" w:fill="auto"/>
        <w:spacing w:before="0" w:after="0" w:line="240" w:lineRule="auto"/>
        <w:ind w:firstLine="709"/>
        <w:jc w:val="center"/>
        <w:rPr>
          <w:rStyle w:val="11"/>
          <w:sz w:val="24"/>
          <w:szCs w:val="24"/>
          <w:lang w:val="ru-RU"/>
        </w:rPr>
      </w:pPr>
      <w:r w:rsidRPr="008978D4">
        <w:rPr>
          <w:rStyle w:val="11"/>
          <w:sz w:val="24"/>
          <w:szCs w:val="24"/>
        </w:rPr>
        <w:t>Проект планировки и проект межевания территории линейного объекта: «Водопровод для обеспечения водоснабжением микрорайона Западная поляна от насосной станции 3-го подъема, расположенной в районе улицы</w:t>
      </w:r>
      <w:r w:rsidRPr="008978D4">
        <w:rPr>
          <w:sz w:val="24"/>
          <w:szCs w:val="24"/>
          <w:lang w:val="ru-RU"/>
        </w:rPr>
        <w:t xml:space="preserve"> </w:t>
      </w:r>
      <w:r w:rsidRPr="008978D4">
        <w:rPr>
          <w:rStyle w:val="11"/>
          <w:sz w:val="24"/>
          <w:szCs w:val="24"/>
        </w:rPr>
        <w:t>Ленинградская»</w:t>
      </w:r>
    </w:p>
    <w:p w:rsidR="008978D4" w:rsidRDefault="008978D4" w:rsidP="008978D4">
      <w:pPr>
        <w:pStyle w:val="10"/>
        <w:keepNext/>
        <w:keepLines/>
        <w:shd w:val="clear" w:color="auto" w:fill="auto"/>
        <w:spacing w:after="0" w:line="240" w:lineRule="auto"/>
        <w:ind w:firstLine="709"/>
        <w:rPr>
          <w:rStyle w:val="11"/>
          <w:b w:val="0"/>
          <w:sz w:val="24"/>
          <w:szCs w:val="24"/>
          <w:lang w:val="ru-RU"/>
        </w:rPr>
      </w:pPr>
      <w:r w:rsidRPr="008978D4">
        <w:rPr>
          <w:rStyle w:val="11"/>
          <w:b w:val="0"/>
          <w:sz w:val="24"/>
          <w:szCs w:val="24"/>
        </w:rPr>
        <w:t>(Схема проекта планировки территории линейного объекта, положение о размещении объектов капитального строительства федерального, регионального или местного значения на территории линейного объекта: «Водопровод для обеспечения водоснабжением микрорайона Западная поляна от насосной станции III подъема, расположенной в районе ул. Ленинградская</w:t>
      </w:r>
      <w:r w:rsidRPr="008978D4">
        <w:rPr>
          <w:rStyle w:val="11"/>
          <w:b w:val="0"/>
          <w:sz w:val="24"/>
          <w:szCs w:val="24"/>
          <w:lang w:val="ru-RU"/>
        </w:rPr>
        <w:t>»</w:t>
      </w:r>
    </w:p>
    <w:p w:rsidR="008978D4" w:rsidRPr="008978D4" w:rsidRDefault="008978D4" w:rsidP="008978D4">
      <w:pPr>
        <w:pStyle w:val="10"/>
        <w:keepNext/>
        <w:keepLines/>
        <w:shd w:val="clear" w:color="auto" w:fill="auto"/>
        <w:spacing w:after="0" w:line="240" w:lineRule="auto"/>
        <w:ind w:firstLine="709"/>
        <w:jc w:val="both"/>
        <w:rPr>
          <w:b w:val="0"/>
          <w:lang w:val="ru-RU"/>
        </w:rPr>
      </w:pPr>
    </w:p>
    <w:p w:rsidR="008978D4" w:rsidRPr="008978D4" w:rsidRDefault="008978D4" w:rsidP="008978D4">
      <w:pPr>
        <w:pStyle w:val="21"/>
        <w:shd w:val="clear" w:color="auto" w:fill="auto"/>
        <w:spacing w:before="0" w:line="240" w:lineRule="auto"/>
        <w:ind w:firstLine="709"/>
        <w:rPr>
          <w:sz w:val="24"/>
          <w:szCs w:val="24"/>
        </w:rPr>
      </w:pPr>
      <w:r w:rsidRPr="008978D4">
        <w:rPr>
          <w:sz w:val="24"/>
          <w:szCs w:val="24"/>
        </w:rPr>
        <w:t>Положение</w:t>
      </w:r>
    </w:p>
    <w:p w:rsidR="008978D4" w:rsidRDefault="008978D4" w:rsidP="008978D4">
      <w:pPr>
        <w:pStyle w:val="21"/>
        <w:shd w:val="clear" w:color="auto" w:fill="auto"/>
        <w:spacing w:before="0" w:line="240" w:lineRule="auto"/>
        <w:ind w:firstLine="709"/>
        <w:rPr>
          <w:sz w:val="24"/>
          <w:szCs w:val="24"/>
          <w:lang w:val="ru-RU"/>
        </w:rPr>
      </w:pPr>
      <w:r w:rsidRPr="008978D4">
        <w:rPr>
          <w:sz w:val="24"/>
          <w:szCs w:val="24"/>
        </w:rPr>
        <w:t>о размещении объектов капитального строительства федерального, регионального или местного значения на территории линейного объекта «Водопровод для обеспечения водоснабжением микрорайона Западная поляна от насосной станции III подъема, расположенной в районе ул.Ленинградская»</w:t>
      </w:r>
    </w:p>
    <w:p w:rsidR="008978D4" w:rsidRPr="008978D4" w:rsidRDefault="008978D4" w:rsidP="008978D4">
      <w:pPr>
        <w:pStyle w:val="21"/>
        <w:shd w:val="clear" w:color="auto" w:fill="auto"/>
        <w:spacing w:before="0" w:line="240" w:lineRule="auto"/>
        <w:ind w:firstLine="709"/>
        <w:rPr>
          <w:sz w:val="24"/>
          <w:szCs w:val="24"/>
          <w:lang w:val="ru-RU"/>
        </w:rPr>
      </w:pPr>
    </w:p>
    <w:p w:rsidR="008978D4" w:rsidRPr="008978D4" w:rsidRDefault="008978D4" w:rsidP="008978D4">
      <w:pPr>
        <w:pStyle w:val="21"/>
        <w:shd w:val="clear" w:color="auto" w:fill="auto"/>
        <w:spacing w:before="0" w:line="240" w:lineRule="auto"/>
        <w:ind w:firstLine="709"/>
        <w:rPr>
          <w:sz w:val="24"/>
          <w:szCs w:val="24"/>
        </w:rPr>
      </w:pPr>
      <w:r w:rsidRPr="008978D4">
        <w:rPr>
          <w:sz w:val="24"/>
          <w:szCs w:val="24"/>
        </w:rPr>
        <w:t>Краткая характеристика природных условий района строительства</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В геологическом строении полосы прохождения трасс водопровода до разведанной глубины 4-8 м принимают участие четвертичные делювиальные и аллювиальные отложения, элювиальные отложения, развитые по породам сызранской свиты нижнего палеогена, элювиальные отложения, развитые по породам, маастрихтского яруса верхней и нижней пачек верхнего отдела меловой системы. Сверху эти отложения перекрыты современным насыпным грунтом и почвенно-растительным слоем.</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Грунтовые воды в период производства работ (ноябрь 2011 г.) в полосе водопровода вскрыты лишь скважиной 9453. Остальными скважинами фунтовые воды до глубины 4 м не вскрыты. В скважине 9453 вскрыты грунтовые воды типа «верховодка» на глубине 2,2 м (абсолютная отметка 250,7 м), образовавшиеся за счет утечек из водонесущих коммуникаций.</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Уровень грунтовых вод подвержен сезонным и многолетним колебаниям. В весеннее время за счет естественных факторов возможен подъем уровня грунтовых на 1,5 м выше отмеченного при бурении.</w:t>
      </w:r>
    </w:p>
    <w:p w:rsidR="008978D4" w:rsidRPr="008978D4" w:rsidRDefault="008978D4" w:rsidP="008978D4">
      <w:pPr>
        <w:pStyle w:val="21"/>
        <w:shd w:val="clear" w:color="auto" w:fill="auto"/>
        <w:spacing w:before="0" w:line="240" w:lineRule="auto"/>
        <w:ind w:firstLine="709"/>
        <w:rPr>
          <w:sz w:val="24"/>
          <w:szCs w:val="24"/>
        </w:rPr>
      </w:pPr>
      <w:r w:rsidRPr="008978D4">
        <w:rPr>
          <w:sz w:val="24"/>
          <w:szCs w:val="24"/>
        </w:rPr>
        <w:t>Характеристика линейного объекта.</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Проектируемый линейный объект является по своему уровню объектом местного значения. Для обеспечения водоснабжением микрорайона Западная поляна предусмотрено проектирование кольцевого водопровода 0500 мм от существующей насосной станции III подъема, расположенной по ул. Лермонтова 34а, до строящегося ОАО «Пензпромстрой» водопровода 0400 мм по ул. Мира.</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Водопровод 0500 мм берет свое начало от Насосной станции III подъема, проходит по ул. Лермонтова, затем поворачивает на ул. Ленинградская и далее по ул. Мира с подключением в строящиеся ОАО «Пензпромстрой» сети 0400 мм.</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По данным, предоставленным ООО «Горводоканал», напор развиваемый насосами, установленными в насосной станции III подъема, составляет 60 м, что с учетом потерь напора по длине трассы обеспечивает потребный напор 10,0 м у самого удаленного пожарного гидранта.</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 xml:space="preserve">Согласно письма № 05-12108 от 20.10.2011 г, представленного ООО «Горводоканал» общий секундный расход, подаваемый в сеть насосами, с </w:t>
      </w:r>
      <w:r w:rsidRPr="008978D4">
        <w:rPr>
          <w:rStyle w:val="8pt"/>
          <w:sz w:val="24"/>
          <w:szCs w:val="24"/>
        </w:rPr>
        <w:t>учетом</w:t>
      </w:r>
      <w:r w:rsidRPr="008978D4">
        <w:rPr>
          <w:rStyle w:val="11"/>
          <w:sz w:val="24"/>
          <w:szCs w:val="24"/>
        </w:rPr>
        <w:t xml:space="preserve"> существующей и перспективной застройки, составит 320 л/с.</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Расход воды на внутреннее и наружное пожаротушение составит 30 л/с. Общий расход с учетом нужд на пожаротушение составит 350 л/с.</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 xml:space="preserve">Водопроводная сеть прокладывается из полиэтиленовых напорных труб ПЭ100 </w:t>
      </w:r>
      <w:r w:rsidRPr="008978D4">
        <w:rPr>
          <w:rStyle w:val="11"/>
          <w:sz w:val="24"/>
          <w:szCs w:val="24"/>
          <w:lang w:val="en-US"/>
        </w:rPr>
        <w:t>SDR</w:t>
      </w:r>
      <w:r w:rsidRPr="008978D4">
        <w:rPr>
          <w:rStyle w:val="11"/>
          <w:sz w:val="24"/>
          <w:szCs w:val="24"/>
          <w:lang w:val="ru-RU"/>
        </w:rPr>
        <w:t xml:space="preserve">17,6 </w:t>
      </w:r>
      <w:r w:rsidRPr="008978D4">
        <w:rPr>
          <w:rStyle w:val="11"/>
          <w:sz w:val="24"/>
          <w:szCs w:val="24"/>
        </w:rPr>
        <w:t xml:space="preserve">0500x28,3 тип «Питьевая» по ГОСТ18599-2001, протяженностью </w:t>
      </w:r>
      <w:r w:rsidRPr="008978D4">
        <w:rPr>
          <w:rStyle w:val="11"/>
          <w:sz w:val="24"/>
          <w:szCs w:val="24"/>
          <w:lang w:val="en-US"/>
        </w:rPr>
        <w:t>L</w:t>
      </w:r>
      <w:r w:rsidRPr="008978D4">
        <w:rPr>
          <w:rStyle w:val="11"/>
          <w:sz w:val="24"/>
          <w:szCs w:val="24"/>
          <w:lang w:val="ru-RU"/>
        </w:rPr>
        <w:t xml:space="preserve"> </w:t>
      </w:r>
      <w:r w:rsidRPr="008978D4">
        <w:rPr>
          <w:rStyle w:val="11"/>
          <w:sz w:val="24"/>
          <w:szCs w:val="24"/>
        </w:rPr>
        <w:t>= 1906,5 м.</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lastRenderedPageBreak/>
        <w:t>По трассе водопровода в колодцах ПГ-1 - ПГ-13 предусмотрено устройство пожарных гидрантов, Н=500мм, 750 мм, 1000 мм, 1250 мм, 1500 мм, 0125мм, рабочее давление 1Мпа. Расстановка пожарных гидрантов по трассе водопровода предусмотрена с учетом п. 8.16 СНиП 2.04.02-84*.</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В повышенных переломных точках водопровода (камеры №2 и №3) предусмотрено устройство вантузов для выпуска, так же согласно п. 8.18 СНиП 2.04.01-84* предусмотрены монтажные вставки для демонтажа, профилактического осмотра и ремонта фланцевой запорной, предохранительной и регулирующей арматуры.</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 xml:space="preserve">В качестве мер защиты от гидравлического удара, вызываемого внезапным включением и выключением насосов в камере № 1 предусмотрено устройство обратного клапана. (СНиП 2.04.02-84* пункт </w:t>
      </w:r>
      <w:r w:rsidRPr="008978D4">
        <w:rPr>
          <w:rStyle w:val="75pt"/>
          <w:sz w:val="24"/>
          <w:szCs w:val="24"/>
        </w:rPr>
        <w:t>8.28).</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На углах поворота предусмотрено устройство ж/б упоров по серии 3.001.1.-3.</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Глубина заложения сети составляет 1,67-3,26 м от натурной отметки до низа трубы.</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Колодцы на сети круглые железобетонный 02000 мм (ПГ-1 - ПГ-13) по ТП 901-09.11.84 ал. И; камеры бетонные 3000x2500 (№2; №3); 2500x3500 ( №1; №4) по ТП 901-09.11.84 ал. IV с установкой в них необходимых фасонных частей, отключающей арматуры и пожарных гидрантов.</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 xml:space="preserve">Отключающая арматура в колодцах и камера предусмотрена фирмы </w:t>
      </w:r>
      <w:r w:rsidRPr="008978D4">
        <w:rPr>
          <w:rStyle w:val="11"/>
          <w:sz w:val="24"/>
          <w:szCs w:val="24"/>
          <w:lang w:val="ru-RU"/>
        </w:rPr>
        <w:t>«</w:t>
      </w:r>
      <w:r w:rsidRPr="008978D4">
        <w:rPr>
          <w:rStyle w:val="11"/>
          <w:sz w:val="24"/>
          <w:szCs w:val="24"/>
          <w:lang w:val="en-US"/>
        </w:rPr>
        <w:t>Hawle</w:t>
      </w:r>
      <w:r w:rsidRPr="008978D4">
        <w:rPr>
          <w:rStyle w:val="11"/>
          <w:sz w:val="24"/>
          <w:szCs w:val="24"/>
          <w:lang w:val="ru-RU"/>
        </w:rPr>
        <w:t xml:space="preserve">» </w:t>
      </w:r>
      <w:r w:rsidRPr="008978D4">
        <w:rPr>
          <w:rStyle w:val="11"/>
          <w:sz w:val="24"/>
          <w:szCs w:val="24"/>
        </w:rPr>
        <w:t>(Австрия).</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Минимальная ширина технического коридора для прокладки линейного объекта -7 м.</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Ширина санитарно-защитной полосы принята 10 м по обе стороны от крайних линий водопровода (СанПиН 2.1.4.1110-02).</w:t>
      </w:r>
    </w:p>
    <w:p w:rsidR="008978D4" w:rsidRPr="008978D4" w:rsidRDefault="008978D4" w:rsidP="008978D4">
      <w:pPr>
        <w:pStyle w:val="21"/>
        <w:shd w:val="clear" w:color="auto" w:fill="auto"/>
        <w:spacing w:before="0" w:line="240" w:lineRule="auto"/>
        <w:ind w:firstLine="709"/>
        <w:rPr>
          <w:sz w:val="24"/>
          <w:szCs w:val="24"/>
        </w:rPr>
      </w:pPr>
      <w:r w:rsidRPr="008978D4">
        <w:rPr>
          <w:sz w:val="24"/>
          <w:szCs w:val="24"/>
        </w:rPr>
        <w:t>Сведения о размещении линейного объекта на осваиваемой территории</w:t>
      </w:r>
    </w:p>
    <w:p w:rsidR="008978D4" w:rsidRPr="008978D4" w:rsidRDefault="008978D4" w:rsidP="008978D4">
      <w:pPr>
        <w:pStyle w:val="3"/>
        <w:shd w:val="clear" w:color="auto" w:fill="auto"/>
        <w:spacing w:before="0" w:after="0" w:line="240" w:lineRule="auto"/>
        <w:ind w:firstLine="709"/>
        <w:jc w:val="both"/>
        <w:rPr>
          <w:sz w:val="24"/>
          <w:szCs w:val="24"/>
        </w:rPr>
      </w:pPr>
      <w:r w:rsidRPr="008978D4">
        <w:rPr>
          <w:rStyle w:val="11"/>
          <w:sz w:val="24"/>
          <w:szCs w:val="24"/>
        </w:rPr>
        <w:t>Линейный объект не размещается на землях сельскохозяйственного назначения, водного фонда. Линейный объект проходит через зоны с особыми условиями использования территорий.</w:t>
      </w:r>
    </w:p>
    <w:bookmarkEnd w:id="0"/>
    <w:p w:rsidR="00276547" w:rsidRDefault="00276547">
      <w:pPr>
        <w:framePr w:w="16176" w:h="11136" w:wrap="around" w:vAnchor="text" w:hAnchor="margin" w:x="2" w:y="1"/>
        <w:jc w:val="center"/>
        <w:rPr>
          <w:sz w:val="0"/>
          <w:szCs w:val="0"/>
        </w:rPr>
      </w:pPr>
      <w:r>
        <w:lastRenderedPageBreak/>
        <w:fldChar w:fldCharType="begin"/>
      </w:r>
      <w:r>
        <w:instrText xml:space="preserve"> INCLUDEPICTURE  "C:\\Users\\PRESS~1.GOR\\AppData\\Local\\Temp\\FineReader10\\media\\image1.png" \* MERGEFORMATINET </w:instrText>
      </w:r>
      <w:r>
        <w:fldChar w:fldCharType="separate"/>
      </w:r>
      <w:r w:rsidR="00A251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9.25pt;height:557.25pt">
            <v:imagedata r:id="rId7" r:href="rId8"/>
          </v:shape>
        </w:pict>
      </w:r>
      <w:r>
        <w:fldChar w:fldCharType="end"/>
      </w:r>
    </w:p>
    <w:p w:rsidR="00276547" w:rsidRDefault="00276547">
      <w:pPr>
        <w:rPr>
          <w:sz w:val="2"/>
          <w:szCs w:val="2"/>
        </w:rPr>
      </w:pPr>
    </w:p>
    <w:sectPr w:rsidR="00276547" w:rsidSect="008978D4">
      <w:pgSz w:w="16837" w:h="11905" w:orient="landscape"/>
      <w:pgMar w:top="552" w:right="535" w:bottom="568"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35" w:rsidRDefault="00A25135" w:rsidP="00276547">
      <w:r>
        <w:separator/>
      </w:r>
    </w:p>
  </w:endnote>
  <w:endnote w:type="continuationSeparator" w:id="1">
    <w:p w:rsidR="00A25135" w:rsidRDefault="00A25135" w:rsidP="00276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35" w:rsidRDefault="00A25135"/>
  </w:footnote>
  <w:footnote w:type="continuationSeparator" w:id="1">
    <w:p w:rsidR="00A25135" w:rsidRDefault="00A251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0A7"/>
    <w:multiLevelType w:val="multilevel"/>
    <w:tmpl w:val="2A4E3F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76547"/>
    <w:rsid w:val="00276547"/>
    <w:rsid w:val="008978D4"/>
    <w:rsid w:val="00A2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65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6547"/>
    <w:rPr>
      <w:color w:val="0066CC"/>
      <w:u w:val="single"/>
    </w:rPr>
  </w:style>
  <w:style w:type="character" w:customStyle="1" w:styleId="1">
    <w:name w:val="Заголовок №1_"/>
    <w:basedOn w:val="a0"/>
    <w:link w:val="10"/>
    <w:rsid w:val="00276547"/>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3"/>
    <w:rsid w:val="00276547"/>
    <w:rPr>
      <w:rFonts w:ascii="Times New Roman" w:eastAsia="Times New Roman" w:hAnsi="Times New Roman" w:cs="Times New Roman"/>
      <w:b w:val="0"/>
      <w:bCs w:val="0"/>
      <w:i w:val="0"/>
      <w:iCs w:val="0"/>
      <w:smallCaps w:val="0"/>
      <w:strike w:val="0"/>
      <w:spacing w:val="0"/>
      <w:sz w:val="18"/>
      <w:szCs w:val="18"/>
    </w:rPr>
  </w:style>
  <w:style w:type="character" w:customStyle="1" w:styleId="11">
    <w:name w:val="Основной текст1"/>
    <w:basedOn w:val="a4"/>
    <w:rsid w:val="00276547"/>
    <w:rPr>
      <w:spacing w:val="0"/>
    </w:rPr>
  </w:style>
  <w:style w:type="character" w:customStyle="1" w:styleId="2">
    <w:name w:val="Основной текст2"/>
    <w:basedOn w:val="a4"/>
    <w:rsid w:val="00276547"/>
    <w:rPr>
      <w:spacing w:val="0"/>
      <w:u w:val="single"/>
      <w:lang w:val="en-US"/>
    </w:rPr>
  </w:style>
  <w:style w:type="character" w:customStyle="1" w:styleId="20">
    <w:name w:val="Основной текст (2)_"/>
    <w:basedOn w:val="a0"/>
    <w:link w:val="21"/>
    <w:rsid w:val="00276547"/>
    <w:rPr>
      <w:rFonts w:ascii="Times New Roman" w:eastAsia="Times New Roman" w:hAnsi="Times New Roman" w:cs="Times New Roman"/>
      <w:b w:val="0"/>
      <w:bCs w:val="0"/>
      <w:i w:val="0"/>
      <w:iCs w:val="0"/>
      <w:smallCaps w:val="0"/>
      <w:strike w:val="0"/>
      <w:spacing w:val="0"/>
      <w:sz w:val="18"/>
      <w:szCs w:val="18"/>
    </w:rPr>
  </w:style>
  <w:style w:type="character" w:customStyle="1" w:styleId="30">
    <w:name w:val="Основной текст (3)_"/>
    <w:basedOn w:val="a0"/>
    <w:link w:val="31"/>
    <w:rsid w:val="00276547"/>
    <w:rPr>
      <w:rFonts w:ascii="Times New Roman" w:eastAsia="Times New Roman" w:hAnsi="Times New Roman" w:cs="Times New Roman"/>
      <w:b w:val="0"/>
      <w:bCs w:val="0"/>
      <w:i w:val="0"/>
      <w:iCs w:val="0"/>
      <w:smallCaps w:val="0"/>
      <w:strike w:val="0"/>
      <w:spacing w:val="-30"/>
      <w:sz w:val="26"/>
      <w:szCs w:val="26"/>
    </w:rPr>
  </w:style>
  <w:style w:type="character" w:customStyle="1" w:styleId="3Candara105pt0pt">
    <w:name w:val="Основной текст (3) + Candara;10;5 pt;Не курсив;Интервал 0 pt"/>
    <w:basedOn w:val="30"/>
    <w:rsid w:val="00276547"/>
    <w:rPr>
      <w:rFonts w:ascii="Candara" w:eastAsia="Candara" w:hAnsi="Candara" w:cs="Candara"/>
      <w:i/>
      <w:iCs/>
      <w:spacing w:val="0"/>
      <w:sz w:val="21"/>
      <w:szCs w:val="21"/>
    </w:rPr>
  </w:style>
  <w:style w:type="character" w:customStyle="1" w:styleId="32">
    <w:name w:val="Основной текст (3)"/>
    <w:basedOn w:val="30"/>
    <w:rsid w:val="00276547"/>
    <w:rPr>
      <w:u w:val="single"/>
    </w:rPr>
  </w:style>
  <w:style w:type="character" w:customStyle="1" w:styleId="8pt">
    <w:name w:val="Основной текст + 8 pt"/>
    <w:basedOn w:val="a4"/>
    <w:rsid w:val="00276547"/>
    <w:rPr>
      <w:spacing w:val="0"/>
      <w:sz w:val="16"/>
      <w:szCs w:val="16"/>
    </w:rPr>
  </w:style>
  <w:style w:type="character" w:customStyle="1" w:styleId="75pt">
    <w:name w:val="Основной текст + 7;5 pt;Полужирный"/>
    <w:basedOn w:val="a4"/>
    <w:rsid w:val="00276547"/>
    <w:rPr>
      <w:b/>
      <w:bCs/>
      <w:spacing w:val="0"/>
      <w:sz w:val="15"/>
      <w:szCs w:val="15"/>
    </w:rPr>
  </w:style>
  <w:style w:type="paragraph" w:customStyle="1" w:styleId="10">
    <w:name w:val="Заголовок №1"/>
    <w:basedOn w:val="a"/>
    <w:link w:val="1"/>
    <w:rsid w:val="00276547"/>
    <w:pPr>
      <w:shd w:val="clear" w:color="auto" w:fill="FFFFFF"/>
      <w:spacing w:after="300" w:line="0" w:lineRule="atLeast"/>
      <w:jc w:val="center"/>
      <w:outlineLvl w:val="0"/>
    </w:pPr>
    <w:rPr>
      <w:rFonts w:ascii="Times New Roman" w:eastAsia="Times New Roman" w:hAnsi="Times New Roman" w:cs="Times New Roman"/>
      <w:b/>
      <w:bCs/>
    </w:rPr>
  </w:style>
  <w:style w:type="paragraph" w:customStyle="1" w:styleId="3">
    <w:name w:val="Основной текст3"/>
    <w:basedOn w:val="a"/>
    <w:link w:val="a4"/>
    <w:rsid w:val="00276547"/>
    <w:pPr>
      <w:shd w:val="clear" w:color="auto" w:fill="FFFFFF"/>
      <w:spacing w:before="180" w:after="720" w:line="0" w:lineRule="atLeast"/>
    </w:pPr>
    <w:rPr>
      <w:rFonts w:ascii="Times New Roman" w:eastAsia="Times New Roman" w:hAnsi="Times New Roman" w:cs="Times New Roman"/>
      <w:sz w:val="18"/>
      <w:szCs w:val="18"/>
    </w:rPr>
  </w:style>
  <w:style w:type="paragraph" w:customStyle="1" w:styleId="21">
    <w:name w:val="Основной текст (2)"/>
    <w:basedOn w:val="a"/>
    <w:link w:val="20"/>
    <w:rsid w:val="00276547"/>
    <w:pPr>
      <w:shd w:val="clear" w:color="auto" w:fill="FFFFFF"/>
      <w:spacing w:before="720" w:line="226" w:lineRule="exact"/>
      <w:ind w:hanging="1800"/>
      <w:jc w:val="center"/>
    </w:pPr>
    <w:rPr>
      <w:rFonts w:ascii="Times New Roman" w:eastAsia="Times New Roman" w:hAnsi="Times New Roman" w:cs="Times New Roman"/>
      <w:b/>
      <w:bCs/>
      <w:sz w:val="18"/>
      <w:szCs w:val="18"/>
    </w:rPr>
  </w:style>
  <w:style w:type="paragraph" w:customStyle="1" w:styleId="31">
    <w:name w:val="Основной текст (3)"/>
    <w:basedOn w:val="a"/>
    <w:link w:val="30"/>
    <w:rsid w:val="00276547"/>
    <w:pPr>
      <w:shd w:val="clear" w:color="auto" w:fill="FFFFFF"/>
      <w:spacing w:after="660" w:line="0" w:lineRule="atLeast"/>
    </w:pPr>
    <w:rPr>
      <w:rFonts w:ascii="Times New Roman" w:eastAsia="Times New Roman" w:hAnsi="Times New Roman" w:cs="Times New Roman"/>
      <w:i/>
      <w:iCs/>
      <w:spacing w:val="-30"/>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PRESS~1.GOR\AppData\Local\Temp\FineReader1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Прессекретарь</dc:creator>
  <cp:lastModifiedBy>Прессекретарь</cp:lastModifiedBy>
  <cp:revision>1</cp:revision>
  <dcterms:created xsi:type="dcterms:W3CDTF">2012-10-04T13:44:00Z</dcterms:created>
  <dcterms:modified xsi:type="dcterms:W3CDTF">2012-10-04T13:51:00Z</dcterms:modified>
</cp:coreProperties>
</file>