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ED" w:rsidRPr="00A601ED" w:rsidRDefault="00A601ED" w:rsidP="00A601ED">
      <w:pPr>
        <w:pStyle w:val="2"/>
        <w:shd w:val="clear" w:color="auto" w:fill="auto"/>
        <w:spacing w:line="240" w:lineRule="auto"/>
        <w:jc w:val="right"/>
        <w:rPr>
          <w:rStyle w:val="11"/>
          <w:sz w:val="24"/>
          <w:szCs w:val="24"/>
          <w:lang w:val="ru-RU"/>
        </w:rPr>
      </w:pPr>
      <w:r w:rsidRPr="00A601ED">
        <w:rPr>
          <w:rStyle w:val="11"/>
          <w:sz w:val="24"/>
          <w:szCs w:val="24"/>
          <w:lang w:val="ru-RU"/>
        </w:rPr>
        <w:t xml:space="preserve">Утверждены </w:t>
      </w:r>
    </w:p>
    <w:p w:rsidR="00A601ED" w:rsidRPr="00A601ED" w:rsidRDefault="00A601ED" w:rsidP="00A601ED">
      <w:pPr>
        <w:pStyle w:val="2"/>
        <w:shd w:val="clear" w:color="auto" w:fill="auto"/>
        <w:spacing w:line="240" w:lineRule="auto"/>
        <w:jc w:val="right"/>
        <w:rPr>
          <w:rStyle w:val="11"/>
          <w:sz w:val="24"/>
          <w:szCs w:val="24"/>
          <w:lang w:val="ru-RU"/>
        </w:rPr>
      </w:pPr>
      <w:r w:rsidRPr="00A601ED">
        <w:rPr>
          <w:rStyle w:val="11"/>
          <w:sz w:val="24"/>
          <w:szCs w:val="24"/>
          <w:lang w:val="ru-RU"/>
        </w:rPr>
        <w:t xml:space="preserve">постановлением администрации города Пензы </w:t>
      </w:r>
    </w:p>
    <w:p w:rsidR="00A601ED" w:rsidRPr="00A601ED" w:rsidRDefault="00A601ED" w:rsidP="00A601ED">
      <w:pPr>
        <w:pStyle w:val="2"/>
        <w:shd w:val="clear" w:color="auto" w:fill="auto"/>
        <w:spacing w:line="240" w:lineRule="auto"/>
        <w:jc w:val="right"/>
        <w:rPr>
          <w:rStyle w:val="11"/>
          <w:sz w:val="24"/>
          <w:szCs w:val="24"/>
          <w:lang w:val="ru-RU"/>
        </w:rPr>
      </w:pPr>
      <w:r w:rsidRPr="00A601ED">
        <w:rPr>
          <w:rStyle w:val="11"/>
          <w:sz w:val="24"/>
          <w:szCs w:val="24"/>
          <w:lang w:val="ru-RU"/>
        </w:rPr>
        <w:t>от 04.07.2012 №809</w:t>
      </w:r>
    </w:p>
    <w:p w:rsidR="00A601ED" w:rsidRPr="00A601ED" w:rsidRDefault="00A601ED" w:rsidP="00A601ED">
      <w:pPr>
        <w:pStyle w:val="2"/>
        <w:shd w:val="clear" w:color="auto" w:fill="auto"/>
        <w:spacing w:line="240" w:lineRule="auto"/>
        <w:jc w:val="center"/>
        <w:rPr>
          <w:rStyle w:val="11"/>
          <w:sz w:val="24"/>
          <w:szCs w:val="24"/>
          <w:lang w:val="ru-RU"/>
        </w:rPr>
      </w:pPr>
      <w:r w:rsidRPr="00A601ED">
        <w:rPr>
          <w:rStyle w:val="11"/>
          <w:sz w:val="24"/>
          <w:szCs w:val="24"/>
        </w:rPr>
        <w:t>Проект планировки и проект межевания территории линейного объекта: «Электроосвещение на автомобильной дороге 1Р 209 Тамбов - Пенза на участке км 276+800 - км 278+000 город Пенза, Пензенская область» (Схема проекта межевания территории линейного объекта, схема проекта планировки линейного объекта, Положение о размещении объектов капитального строительства федерального, регионального или местного значения на территории линейного объекта «Расходы на мероприятия по повышению уровня обустройства автомобильных дорог федерального значения</w:t>
      </w:r>
    </w:p>
    <w:p w:rsidR="00A601ED" w:rsidRPr="00A601ED" w:rsidRDefault="00A601ED" w:rsidP="00A601ED">
      <w:pPr>
        <w:pStyle w:val="2"/>
        <w:shd w:val="clear" w:color="auto" w:fill="auto"/>
        <w:spacing w:line="240" w:lineRule="auto"/>
        <w:jc w:val="center"/>
        <w:rPr>
          <w:rStyle w:val="11"/>
          <w:sz w:val="24"/>
          <w:szCs w:val="24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A601ED" w:rsidRDefault="00A601ED">
      <w:pPr>
        <w:pStyle w:val="2"/>
        <w:shd w:val="clear" w:color="auto" w:fill="auto"/>
        <w:ind w:left="3140" w:right="240"/>
        <w:jc w:val="right"/>
        <w:rPr>
          <w:rStyle w:val="11"/>
          <w:lang w:val="ru-RU"/>
        </w:rPr>
      </w:pPr>
    </w:p>
    <w:p w:rsidR="00326BF0" w:rsidRDefault="00B87A8E">
      <w:pPr>
        <w:framePr w:w="15763" w:h="11630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8.25pt;height:582pt">
            <v:imagedata r:id="rId7" r:href="rId8"/>
          </v:shape>
        </w:pict>
      </w:r>
    </w:p>
    <w:p w:rsidR="00326BF0" w:rsidRDefault="00326BF0">
      <w:pPr>
        <w:rPr>
          <w:sz w:val="2"/>
          <w:szCs w:val="2"/>
        </w:rPr>
        <w:sectPr w:rsidR="00326BF0" w:rsidSect="00A601ED">
          <w:pgSz w:w="16837" w:h="11905" w:orient="landscape"/>
          <w:pgMar w:top="709" w:right="332" w:bottom="0" w:left="649" w:header="0" w:footer="3" w:gutter="0"/>
          <w:cols w:space="720"/>
          <w:noEndnote/>
          <w:docGrid w:linePitch="360"/>
        </w:sectPr>
      </w:pPr>
    </w:p>
    <w:p w:rsidR="00326BF0" w:rsidRDefault="00B87A8E">
      <w:pPr>
        <w:framePr w:w="15854" w:h="9888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792.75pt;height:493.5pt">
            <v:imagedata r:id="rId9" r:href="rId10"/>
          </v:shape>
        </w:pict>
      </w:r>
    </w:p>
    <w:p w:rsidR="00326BF0" w:rsidRDefault="00326BF0">
      <w:pPr>
        <w:rPr>
          <w:sz w:val="2"/>
          <w:szCs w:val="2"/>
        </w:rPr>
        <w:sectPr w:rsidR="00326BF0">
          <w:pgSz w:w="16837" w:h="11905" w:orient="landscape"/>
          <w:pgMar w:top="1539" w:right="172" w:bottom="478" w:left="810" w:header="0" w:footer="3" w:gutter="0"/>
          <w:cols w:space="720"/>
          <w:noEndnote/>
          <w:docGrid w:linePitch="360"/>
        </w:sectPr>
      </w:pPr>
    </w:p>
    <w:p w:rsidR="00326BF0" w:rsidRPr="00A601ED" w:rsidRDefault="00B87A8E" w:rsidP="00A601ED">
      <w:pPr>
        <w:pStyle w:val="140"/>
        <w:shd w:val="clear" w:color="auto" w:fill="auto"/>
        <w:spacing w:line="240" w:lineRule="auto"/>
        <w:rPr>
          <w:sz w:val="24"/>
          <w:szCs w:val="24"/>
        </w:rPr>
      </w:pPr>
      <w:r w:rsidRPr="00A601ED">
        <w:rPr>
          <w:sz w:val="24"/>
          <w:szCs w:val="24"/>
        </w:rPr>
        <w:lastRenderedPageBreak/>
        <w:t>Положение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rPr>
          <w:sz w:val="24"/>
          <w:szCs w:val="24"/>
        </w:rPr>
      </w:pPr>
      <w:r w:rsidRPr="00A601ED">
        <w:rPr>
          <w:sz w:val="24"/>
          <w:szCs w:val="24"/>
        </w:rPr>
        <w:t>о размещении объектов капитального строительства федерального, регионального или местного значения на территории линейного объекта «Расходы на мероприятия по повышению уровня обустройства</w:t>
      </w:r>
      <w:r w:rsidRPr="00A601ED">
        <w:rPr>
          <w:sz w:val="24"/>
          <w:szCs w:val="24"/>
        </w:rPr>
        <w:t xml:space="preserve"> автомобильных дорог федерального значения. Устройство искусственного электроосвещения на автомобильной дороге 1Р 209 Тамбов- Пенза на участке км 276+800 - км 278+000 г. Пенза, Пензенская область»</w:t>
      </w:r>
    </w:p>
    <w:p w:rsidR="00326BF0" w:rsidRPr="00A601ED" w:rsidRDefault="00B87A8E" w:rsidP="00A601ED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3"/>
      <w:r w:rsidRPr="00A601ED">
        <w:rPr>
          <w:sz w:val="24"/>
          <w:szCs w:val="24"/>
        </w:rPr>
        <w:t>Обоснование параметров линейного объекта, планируемого к ра</w:t>
      </w:r>
      <w:r w:rsidRPr="00A601ED">
        <w:rPr>
          <w:sz w:val="24"/>
          <w:szCs w:val="24"/>
        </w:rPr>
        <w:t>змещению</w:t>
      </w:r>
      <w:bookmarkEnd w:id="0"/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Участок устройства искусственного электроосвещения располагается на автомобильной дороге федерального значения дороге 1Р 209 Тамбов-Пенза на участке км 276+800 - км 278+000 г. Пенза.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Местоположение участка устройства электроосвещения определено со</w:t>
      </w:r>
      <w:r w:rsidRPr="00A601ED">
        <w:rPr>
          <w:sz w:val="24"/>
          <w:szCs w:val="24"/>
        </w:rPr>
        <w:t>гласно фактическому местоположению населенного пункта г. Пенза, в пределах участка существующей автодороги.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Начало участка км 277+400 - км 278+000 г. Пенза (с. Кривозерье) - соответствует фактическому км 277+196;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Конец участка км 277+400 - км 278+000 г. Пенза (с. Кривозерье) - соответствует фактическому км 278+000.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Основные технические параметры участка дороги: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29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дорожно-климатическая зона - III;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53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техническая категория по СНиП 2.05.02-85* -1-6;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 xml:space="preserve">число полос движения - </w:t>
      </w:r>
      <w:r w:rsidRPr="00A601ED">
        <w:rPr>
          <w:sz w:val="24"/>
          <w:szCs w:val="24"/>
        </w:rPr>
        <w:t>4;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ширина земляного полотна - переменная;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ширина проезжей части - переменная;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53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ширина обочин - переменная;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53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вид покрытия - асфальтобетон;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общая интенсивность движения - свыше 6000 ед/сут.;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район расчетных климатических условий принят: по гололеду - III, по ветру - IV;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категория дороги по освещению по СНиП 23-05-95 - А;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средняя нормируемая яркость покрытия - 1,2 кд/м</w:t>
      </w:r>
      <w:r w:rsidRPr="00A601ED">
        <w:rPr>
          <w:sz w:val="24"/>
          <w:szCs w:val="24"/>
          <w:vertAlign w:val="superscript"/>
        </w:rPr>
        <w:t>2</w:t>
      </w:r>
      <w:r w:rsidRPr="00A601ED">
        <w:rPr>
          <w:sz w:val="24"/>
          <w:szCs w:val="24"/>
        </w:rPr>
        <w:t>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lastRenderedPageBreak/>
        <w:t>средняя нормируемая горизонтальная освещенность покрытия - 20 лк;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515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схема ра</w:t>
      </w:r>
      <w:r w:rsidRPr="00A601ED">
        <w:rPr>
          <w:sz w:val="24"/>
          <w:szCs w:val="24"/>
        </w:rPr>
        <w:t>сположения светильников - односторонняя;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по надежности электроснабжения потребители отнесены к III категории;</w:t>
      </w:r>
    </w:p>
    <w:p w:rsidR="00326BF0" w:rsidRPr="00A601ED" w:rsidRDefault="00B87A8E" w:rsidP="00A601ED">
      <w:pPr>
        <w:pStyle w:val="140"/>
        <w:numPr>
          <w:ilvl w:val="0"/>
          <w:numId w:val="2"/>
        </w:numPr>
        <w:shd w:val="clear" w:color="auto" w:fill="auto"/>
        <w:tabs>
          <w:tab w:val="left" w:pos="520"/>
        </w:tabs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строительная длина линий освещения - 1,702 км.</w:t>
      </w:r>
    </w:p>
    <w:p w:rsidR="00326BF0" w:rsidRPr="00A601ED" w:rsidRDefault="00B87A8E" w:rsidP="00A601ED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4"/>
      <w:r w:rsidRPr="00A601ED">
        <w:rPr>
          <w:sz w:val="24"/>
          <w:szCs w:val="24"/>
        </w:rPr>
        <w:t>Обоснование размещения линейного объекта</w:t>
      </w:r>
      <w:bookmarkEnd w:id="1"/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Автодорога, являясь важной составной частью транспортной системы страны, обеспечивает перевозки как внутри этих субъектов, так и дальние транзитные связи и играет большую роль в решении внутригосударственных транспортных проблем, находящихся в районе ее тя</w:t>
      </w:r>
      <w:r w:rsidRPr="00A601ED">
        <w:rPr>
          <w:sz w:val="24"/>
          <w:szCs w:val="24"/>
        </w:rPr>
        <w:t>готения.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Основная цель разработки проектной документации состоит в устройстве искусственного электроосвещения участков дороги в пределах зоны повышенной опасности (населенный пункт).</w:t>
      </w:r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 xml:space="preserve">Реализация принятых проектных решений в проектной документации позволяет </w:t>
      </w:r>
      <w:r w:rsidRPr="00A601ED">
        <w:rPr>
          <w:sz w:val="24"/>
          <w:szCs w:val="24"/>
        </w:rPr>
        <w:t xml:space="preserve">обеспечить выполнение технических параметров предъявляемых к нормативному уровню удобства и безопасности дорожного движения современных автотранспортных средств, за счет устройства искусственного электроосвещения участка дороги, проходящего по населенному </w:t>
      </w:r>
      <w:r w:rsidRPr="00A601ED">
        <w:rPr>
          <w:sz w:val="24"/>
          <w:szCs w:val="24"/>
        </w:rPr>
        <w:t>пункту г. Пенза.</w:t>
      </w:r>
    </w:p>
    <w:p w:rsidR="00326BF0" w:rsidRPr="00A601ED" w:rsidRDefault="00B87A8E" w:rsidP="00A601ED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5"/>
      <w:r w:rsidRPr="00A601ED">
        <w:rPr>
          <w:sz w:val="24"/>
          <w:szCs w:val="24"/>
        </w:rPr>
        <w:t>Обоснование размещения линейного объекта с учетом особых условий использования территорий и мероприятий по сохранению объектов культурного</w:t>
      </w:r>
      <w:bookmarkEnd w:id="2"/>
    </w:p>
    <w:p w:rsidR="00326BF0" w:rsidRPr="00A601ED" w:rsidRDefault="00B87A8E" w:rsidP="00A601ED">
      <w:pPr>
        <w:pStyle w:val="2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3" w:name="bookmark6"/>
      <w:r w:rsidRPr="00A601ED">
        <w:rPr>
          <w:sz w:val="24"/>
          <w:szCs w:val="24"/>
        </w:rPr>
        <w:t>наследия</w:t>
      </w:r>
      <w:bookmarkEnd w:id="3"/>
    </w:p>
    <w:p w:rsidR="00326BF0" w:rsidRPr="00A601ED" w:rsidRDefault="00B87A8E" w:rsidP="00A601ED">
      <w:pPr>
        <w:pStyle w:val="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A601ED">
        <w:rPr>
          <w:sz w:val="24"/>
          <w:szCs w:val="24"/>
        </w:rPr>
        <w:t>В пределах размещения участка устройства электроосвещения объекты культурного наследия отсутствуют, поэтому мероприятия по их сохранению проектной документацией не разрабатывались.</w:t>
      </w:r>
    </w:p>
    <w:sectPr w:rsidR="00326BF0" w:rsidRPr="00A601ED" w:rsidSect="00326BF0">
      <w:pgSz w:w="16837" w:h="11905" w:orient="landscape"/>
      <w:pgMar w:top="896" w:right="888" w:bottom="978" w:left="1248" w:header="0" w:footer="3" w:gutter="0"/>
      <w:cols w:num="2" w:space="179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8E" w:rsidRDefault="00B87A8E" w:rsidP="00326BF0">
      <w:r>
        <w:separator/>
      </w:r>
    </w:p>
  </w:endnote>
  <w:endnote w:type="continuationSeparator" w:id="1">
    <w:p w:rsidR="00B87A8E" w:rsidRDefault="00B87A8E" w:rsidP="0032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8E" w:rsidRDefault="00B87A8E"/>
  </w:footnote>
  <w:footnote w:type="continuationSeparator" w:id="1">
    <w:p w:rsidR="00B87A8E" w:rsidRDefault="00B87A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640"/>
    <w:multiLevelType w:val="multilevel"/>
    <w:tmpl w:val="F2124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36B12"/>
    <w:multiLevelType w:val="multilevel"/>
    <w:tmpl w:val="FA16A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6BF0"/>
    <w:rsid w:val="00326BF0"/>
    <w:rsid w:val="00A601ED"/>
    <w:rsid w:val="00B8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B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BF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2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 + Не полужирный"/>
    <w:basedOn w:val="3"/>
    <w:rsid w:val="00326BF0"/>
    <w:rPr>
      <w:b/>
      <w:bCs/>
      <w:spacing w:val="0"/>
    </w:rPr>
  </w:style>
  <w:style w:type="character" w:customStyle="1" w:styleId="1">
    <w:name w:val="Заголовок №1_"/>
    <w:basedOn w:val="a0"/>
    <w:link w:val="10"/>
    <w:rsid w:val="0032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">
    <w:name w:val="Основной текст (15)_"/>
    <w:basedOn w:val="a0"/>
    <w:link w:val="150"/>
    <w:rsid w:val="0032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59pt">
    <w:name w:val="Основной текст (15) + 9 pt;Не курсив"/>
    <w:basedOn w:val="15"/>
    <w:rsid w:val="00326BF0"/>
    <w:rPr>
      <w:i/>
      <w:iCs/>
      <w:spacing w:val="0"/>
      <w:sz w:val="18"/>
      <w:szCs w:val="18"/>
      <w:lang/>
    </w:rPr>
  </w:style>
  <w:style w:type="character" w:customStyle="1" w:styleId="154pt">
    <w:name w:val="Основной текст (15) + Интервал 4 pt"/>
    <w:basedOn w:val="15"/>
    <w:rsid w:val="00326BF0"/>
    <w:rPr>
      <w:spacing w:val="80"/>
    </w:rPr>
  </w:style>
  <w:style w:type="character" w:customStyle="1" w:styleId="154pt0">
    <w:name w:val="Основной текст (15) + Интервал 4 pt"/>
    <w:basedOn w:val="15"/>
    <w:rsid w:val="00326BF0"/>
    <w:rPr>
      <w:spacing w:val="80"/>
      <w:u w:val="single"/>
    </w:rPr>
  </w:style>
  <w:style w:type="character" w:customStyle="1" w:styleId="151">
    <w:name w:val="Основной текст (15)"/>
    <w:basedOn w:val="15"/>
    <w:rsid w:val="00326BF0"/>
    <w:rPr>
      <w:u w:val="single"/>
      <w:lang/>
    </w:rPr>
  </w:style>
  <w:style w:type="character" w:customStyle="1" w:styleId="a4">
    <w:name w:val="Основной текст_"/>
    <w:basedOn w:val="a0"/>
    <w:link w:val="2"/>
    <w:rsid w:val="0032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326BF0"/>
    <w:rPr>
      <w:spacing w:val="0"/>
    </w:rPr>
  </w:style>
  <w:style w:type="character" w:customStyle="1" w:styleId="15Candara105pt">
    <w:name w:val="Основной текст (15) + Candara;10;5 pt;Не курсив"/>
    <w:basedOn w:val="15"/>
    <w:rsid w:val="00326BF0"/>
    <w:rPr>
      <w:rFonts w:ascii="Candara" w:eastAsia="Candara" w:hAnsi="Candara" w:cs="Candara"/>
      <w:i/>
      <w:iCs/>
      <w:spacing w:val="0"/>
      <w:sz w:val="21"/>
      <w:szCs w:val="21"/>
    </w:rPr>
  </w:style>
  <w:style w:type="character" w:customStyle="1" w:styleId="152">
    <w:name w:val="Основной текст (15)"/>
    <w:basedOn w:val="15"/>
    <w:rsid w:val="00326BF0"/>
    <w:rPr>
      <w:u w:val="single"/>
    </w:rPr>
  </w:style>
  <w:style w:type="character" w:customStyle="1" w:styleId="14">
    <w:name w:val="Основной текст (14)_"/>
    <w:basedOn w:val="a0"/>
    <w:link w:val="140"/>
    <w:rsid w:val="0032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0">
    <w:name w:val="Заголовок №2_"/>
    <w:basedOn w:val="a0"/>
    <w:link w:val="21"/>
    <w:rsid w:val="00326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0">
    <w:name w:val="Основной текст (3)"/>
    <w:basedOn w:val="a"/>
    <w:link w:val="3"/>
    <w:rsid w:val="00326BF0"/>
    <w:pPr>
      <w:shd w:val="clear" w:color="auto" w:fill="FFFFFF"/>
      <w:spacing w:before="6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326BF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rsid w:val="00326BF0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paragraph" w:customStyle="1" w:styleId="2">
    <w:name w:val="Основной текст2"/>
    <w:basedOn w:val="a"/>
    <w:link w:val="a4"/>
    <w:rsid w:val="00326BF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326BF0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">
    <w:name w:val="Заголовок №2"/>
    <w:basedOn w:val="a"/>
    <w:link w:val="20"/>
    <w:rsid w:val="00326BF0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RESS~1.GOR\AppData\Local\Temp\FineReader1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PRESS~1.GOR\AppData\Local\Temp\FineReader1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Прессекретарь</dc:creator>
  <cp:lastModifiedBy>Прессекретарь</cp:lastModifiedBy>
  <cp:revision>1</cp:revision>
  <dcterms:created xsi:type="dcterms:W3CDTF">2012-10-05T08:25:00Z</dcterms:created>
  <dcterms:modified xsi:type="dcterms:W3CDTF">2012-10-05T08:29:00Z</dcterms:modified>
</cp:coreProperties>
</file>