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E2385C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206D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E2385C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Москвина Романа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2385C">
        <w:rPr>
          <w:sz w:val="28"/>
          <w:szCs w:val="28"/>
        </w:rPr>
        <w:t>Москвина Романа Николаевича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E2385C">
        <w:rPr>
          <w:sz w:val="28"/>
          <w:szCs w:val="28"/>
        </w:rPr>
        <w:t>тному избирательному округу №8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2385C">
        <w:rPr>
          <w:szCs w:val="28"/>
        </w:rPr>
        <w:t>Москвина Романа Николаевича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E2385C">
        <w:rPr>
          <w:szCs w:val="28"/>
        </w:rPr>
        <w:t>тному избирательному округу № 8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E2385C">
        <w:rPr>
          <w:b/>
          <w:bCs/>
          <w:sz w:val="28"/>
          <w:szCs w:val="28"/>
        </w:rPr>
        <w:t>18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D16DD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2019-07-26T07:04:00Z</cp:lastPrinted>
  <dcterms:created xsi:type="dcterms:W3CDTF">2019-07-26T07:04:00Z</dcterms:created>
  <dcterms:modified xsi:type="dcterms:W3CDTF">2019-07-26T07:04:00Z</dcterms:modified>
</cp:coreProperties>
</file>